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183"/>
      </w:tblGrid>
      <w:tr w:rsidR="000C2399" w:rsidRPr="001F43DD">
        <w:trPr>
          <w:cantSplit/>
        </w:trPr>
        <w:tc>
          <w:tcPr>
            <w:tcW w:w="4606" w:type="dxa"/>
          </w:tcPr>
          <w:p w:rsidR="000C2399" w:rsidRPr="001F43DD" w:rsidRDefault="000D6558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5pt;height:96.45pt" fillcolor="window">
                  <v:imagedata r:id="rId7" o:title=""/>
                </v:shape>
              </w:pict>
            </w:r>
          </w:p>
          <w:p w:rsidR="000C2399" w:rsidRPr="001F43DD" w:rsidRDefault="000C2399"/>
          <w:p w:rsidR="000C2399" w:rsidRPr="001F43DD" w:rsidRDefault="008A1E62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0C2399" w:rsidRPr="001F43DD">
              <w:rPr>
                <w:rFonts w:cs="Arial"/>
              </w:rPr>
              <w:t xml:space="preserve"> – inženýrské objekty</w:t>
            </w:r>
          </w:p>
          <w:p w:rsidR="000C2399" w:rsidRPr="001F43DD" w:rsidRDefault="000C2399">
            <w:r w:rsidRPr="001F43DD">
              <w:rPr>
                <w:rFonts w:cs="Arial"/>
              </w:rPr>
              <w:t>Technická zpráva</w:t>
            </w:r>
          </w:p>
          <w:p w:rsidR="000C2399" w:rsidRPr="001F43DD" w:rsidRDefault="000C2399"/>
        </w:tc>
        <w:tc>
          <w:tcPr>
            <w:tcW w:w="4183" w:type="dxa"/>
          </w:tcPr>
          <w:p w:rsidR="000C2399" w:rsidRPr="001F43DD" w:rsidRDefault="000C2399">
            <w:pPr>
              <w:pStyle w:val="titulnstrana0"/>
            </w:pPr>
            <w:r w:rsidRPr="001F43DD">
              <w:t>archivní číslo: 1207060c</w:t>
            </w:r>
          </w:p>
          <w:p w:rsidR="000C2399" w:rsidRPr="001F43DD" w:rsidRDefault="000C2399">
            <w:pPr>
              <w:pStyle w:val="titulnstrana00"/>
            </w:pPr>
            <w:r w:rsidRPr="001F43DD">
              <w:rPr>
                <w:b/>
              </w:rPr>
              <w:t>stupeň:</w:t>
            </w:r>
            <w:r w:rsidRPr="001F43DD">
              <w:t xml:space="preserve"> </w:t>
            </w:r>
          </w:p>
          <w:p w:rsidR="000C2399" w:rsidRPr="001F43DD" w:rsidRDefault="000C2399">
            <w:pPr>
              <w:pStyle w:val="titulnstrana00"/>
            </w:pPr>
            <w:r w:rsidRPr="001F43DD">
              <w:t>aktualizace PD</w:t>
            </w:r>
          </w:p>
          <w:p w:rsidR="000C2399" w:rsidRPr="001F43DD" w:rsidRDefault="000C2399">
            <w:pPr>
              <w:pStyle w:val="titulnstrana0"/>
            </w:pPr>
            <w:r w:rsidRPr="001F43DD">
              <w:t>datum: červenec 2012</w:t>
            </w:r>
          </w:p>
          <w:p w:rsidR="000C2399" w:rsidRPr="001F43DD" w:rsidRDefault="000C2399">
            <w:pPr>
              <w:pStyle w:val="titulnstrana0"/>
              <w:rPr>
                <w:b/>
              </w:rPr>
            </w:pPr>
            <w:r w:rsidRPr="001F43DD">
              <w:rPr>
                <w:b/>
              </w:rPr>
              <w:t>objednal:</w:t>
            </w:r>
          </w:p>
          <w:p w:rsidR="000C2399" w:rsidRPr="001F43DD" w:rsidRDefault="000C2399">
            <w:pPr>
              <w:pStyle w:val="titulnstrana00"/>
            </w:pPr>
            <w:r w:rsidRPr="001F43DD">
              <w:t xml:space="preserve">MM Karlovy Vary, OI  </w:t>
            </w:r>
          </w:p>
          <w:p w:rsidR="000C2399" w:rsidRPr="001F43DD" w:rsidRDefault="000C2399">
            <w:pPr>
              <w:pStyle w:val="titulnstrana0"/>
            </w:pPr>
            <w:r w:rsidRPr="001F43DD">
              <w:rPr>
                <w:b/>
              </w:rPr>
              <w:t>zpracoval:</w:t>
            </w:r>
            <w:r w:rsidRPr="001F43DD">
              <w:t xml:space="preserve"> </w:t>
            </w:r>
          </w:p>
          <w:p w:rsidR="000C2399" w:rsidRPr="001F43DD" w:rsidRDefault="000C2399">
            <w:pPr>
              <w:pStyle w:val="titulnstrana00"/>
            </w:pPr>
            <w:r w:rsidRPr="001F43DD">
              <w:t>ing. Martin Kohout</w:t>
            </w:r>
          </w:p>
          <w:p w:rsidR="000C2399" w:rsidRPr="001F43DD" w:rsidRDefault="000C2399">
            <w:pPr>
              <w:pStyle w:val="titulnstrana00"/>
            </w:pPr>
            <w:r w:rsidRPr="001F43DD">
              <w:t>Alena Kuželová</w:t>
            </w:r>
          </w:p>
        </w:tc>
      </w:tr>
    </w:tbl>
    <w:p w:rsidR="000C2399" w:rsidRPr="001F43DD" w:rsidRDefault="000C2399">
      <w:pPr>
        <w:pStyle w:val="titulnstrana1"/>
        <w:spacing w:before="1560"/>
      </w:pPr>
      <w:r w:rsidRPr="001F43DD">
        <w:t xml:space="preserve">KARLOVY VARY – stará role </w:t>
      </w:r>
    </w:p>
    <w:p w:rsidR="000C2399" w:rsidRPr="001F43DD" w:rsidRDefault="000C2399">
      <w:pPr>
        <w:pStyle w:val="titulnstrana2"/>
      </w:pPr>
      <w:r w:rsidRPr="001F43DD">
        <w:t xml:space="preserve">truhlářská ULice </w:t>
      </w:r>
    </w:p>
    <w:p w:rsidR="000C2399" w:rsidRPr="001F43DD" w:rsidRDefault="000C2399">
      <w:pPr>
        <w:pStyle w:val="titulnstrana3"/>
      </w:pPr>
      <w:r w:rsidRPr="001F43DD">
        <w:t xml:space="preserve">Posílení parkovacích stání - vnitroblok </w:t>
      </w:r>
    </w:p>
    <w:p w:rsidR="000C2399" w:rsidRPr="001F43DD" w:rsidRDefault="000C2399" w:rsidP="000C2399">
      <w:pPr>
        <w:pStyle w:val="titulnstrana3"/>
      </w:pPr>
      <w:r w:rsidRPr="001F43DD">
        <w:t>Aktualizace PD</w:t>
      </w:r>
    </w:p>
    <w:p w:rsidR="000C2399" w:rsidRPr="001F43DD" w:rsidRDefault="000C2399">
      <w:pPr>
        <w:jc w:val="center"/>
      </w:pPr>
      <w:r w:rsidRPr="001F43DD">
        <w:t>___________________________________________________________________________</w:t>
      </w:r>
    </w:p>
    <w:p w:rsidR="000C2399" w:rsidRPr="001F43DD" w:rsidRDefault="000C2399">
      <w:pPr>
        <w:pStyle w:val="titulnstrana00"/>
        <w:rPr>
          <w:b/>
        </w:rPr>
      </w:pPr>
    </w:p>
    <w:p w:rsidR="000C2399" w:rsidRPr="001F43DD" w:rsidRDefault="000C2399">
      <w:pPr>
        <w:pStyle w:val="titulnstrana00"/>
        <w:rPr>
          <w:b/>
        </w:rPr>
      </w:pPr>
      <w:r w:rsidRPr="001F43DD">
        <w:rPr>
          <w:b/>
        </w:rPr>
        <w:t>seznam příloh</w:t>
      </w:r>
    </w:p>
    <w:p w:rsidR="000C2399" w:rsidRPr="001F43DD" w:rsidRDefault="000C2399">
      <w:pPr>
        <w:pStyle w:val="titulnstrana00"/>
        <w:rPr>
          <w:bCs/>
        </w:rPr>
      </w:pPr>
      <w:r w:rsidRPr="001F43DD">
        <w:rPr>
          <w:bCs/>
        </w:rPr>
        <w:t>technická zpráva</w:t>
      </w:r>
    </w:p>
    <w:p w:rsidR="000C2399" w:rsidRPr="001F43DD" w:rsidRDefault="000C2399">
      <w:pPr>
        <w:pStyle w:val="titulnstrana00"/>
      </w:pPr>
      <w:r w:rsidRPr="001F43DD">
        <w:t xml:space="preserve">situace – 1 </w:t>
      </w:r>
    </w:p>
    <w:p w:rsidR="000C2399" w:rsidRPr="001F43DD" w:rsidRDefault="000C2399">
      <w:pPr>
        <w:pStyle w:val="titulnstrana00"/>
      </w:pPr>
      <w:r w:rsidRPr="001F43DD">
        <w:t>vzorový příčný řez – 2</w:t>
      </w:r>
    </w:p>
    <w:p w:rsidR="000C2399" w:rsidRPr="001F43DD" w:rsidRDefault="000C2399">
      <w:pPr>
        <w:pStyle w:val="titulnstrana00"/>
      </w:pPr>
      <w:r w:rsidRPr="001F43DD">
        <w:t>příčné řezy – 3</w:t>
      </w:r>
    </w:p>
    <w:p w:rsidR="000C2399" w:rsidRPr="001F43DD" w:rsidRDefault="000C2399">
      <w:pPr>
        <w:pStyle w:val="titulnstrana00"/>
      </w:pPr>
      <w:r w:rsidRPr="001F43DD">
        <w:t>dopravní značení – 4</w:t>
      </w:r>
    </w:p>
    <w:p w:rsidR="000C2399" w:rsidRPr="001F43DD" w:rsidRDefault="000C2399">
      <w:pPr>
        <w:pStyle w:val="titulnstrana00"/>
      </w:pPr>
      <w:r w:rsidRPr="001F43DD">
        <w:t>plocha pro kontejnery – typový výkres – 5</w:t>
      </w:r>
    </w:p>
    <w:p w:rsidR="000C2399" w:rsidRPr="001F43DD" w:rsidRDefault="000C2399">
      <w:pPr>
        <w:pStyle w:val="titulnstrana00"/>
      </w:pPr>
    </w:p>
    <w:p w:rsidR="00FE3CD7" w:rsidRPr="001F43DD" w:rsidRDefault="00FE3CD7">
      <w:pPr>
        <w:pStyle w:val="titulnstrana00"/>
      </w:pPr>
    </w:p>
    <w:p w:rsidR="000C2399" w:rsidRPr="001F43DD" w:rsidRDefault="000C2399">
      <w:pPr>
        <w:pStyle w:val="Nadpis1"/>
        <w:pageBreakBefore/>
        <w:jc w:val="left"/>
      </w:pPr>
      <w:r w:rsidRPr="001F43DD">
        <w:lastRenderedPageBreak/>
        <w:t>Technická zpráva</w:t>
      </w:r>
    </w:p>
    <w:p w:rsidR="001F43DD" w:rsidRPr="001F43DD" w:rsidRDefault="001F43DD" w:rsidP="001F43DD">
      <w:pPr>
        <w:keepNext/>
        <w:spacing w:before="12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1/ úvod a napojení na stávající dopravní infrastrukturu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Z hlediska vstupních údajů je důvodem aktualizace této projektové dokumentace zajištění souladu s projektovým návrhem na obnovu zeleně. Správa lázeňských parků vznesla jisté požadavky, které je nutno promítnout do této aktualizace (návrh úprav zelených ploch je přílohou tohoto stavebního objektu).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Dopravní napojení na sousední dopravní infrastrukturu se v principu nemění a zachovává původní návrh. Přístup ke stadionu a na parkoviště je přes vjezdový práh.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Princip řešení parkovacích ploch je rovněž zachován, mění se pouze odstupové vzdálenosti od stávajících stromů.</w:t>
      </w: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2/ vstupní podklady a řešení z hlediska přístupu a užívání osobami s omezenou schopností pohybu a orientace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Podkladem pro návrh řešení byla katastrální mapa, polohopisné a výškopisné zaměření zájmového území, schválený původní projektový návrh, prohlídka v terénu a specifikace rozsahu řešení tlumočená zadavatelem.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Zájmová plocha se nachází v sousedství slepé přístupové komunikace odbočující z Truhlářské ulice a zajišťující dopravní přístupnost sportovního areálu.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Část nového parkoviště bude přistavěna ke stávající komunikaci vedoucí ke stadionu (kolmé stání), zbytek pak na zelené ploše ve vnitrobloku. 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V koordinační situaci jsou rovněž, z podkladů získaných od jednotlivých správců, orientačně zakresleny inženýrské sítě.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Řešený prostor kříží tepelné rozvody (topný kanál, v jehož trase vede i kabelová televize), kanalizace, vodovod, kabely elektro i telefonu, trasa VO bude upravena v samostatném objektu PD.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Návrh projektového řešení této dopravní části vychází z platných norem a předpisů. Mimo jiné je zde zohledněna i vyhláška č. 398/2009  Sb. „O technických požadavcích zabezpečujících bezbariérové užívání staveb“.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Při výstavbě parkoviště budou zásahy do zeleně a nová výsadba dány rozsahem prací tak, jak je patrno z grafických příloh.</w:t>
      </w: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3/ stručný popis řešení, jeho funkčnost a technické řešení</w:t>
      </w:r>
    </w:p>
    <w:p w:rsidR="001F43DD" w:rsidRPr="001F43DD" w:rsidRDefault="001F43DD" w:rsidP="001F43DD">
      <w:pPr>
        <w:keepNext/>
        <w:numPr>
          <w:ilvl w:val="0"/>
          <w:numId w:val="14"/>
        </w:numPr>
        <w:overflowPunct/>
        <w:autoSpaceDE/>
        <w:autoSpaceDN/>
        <w:adjustRightInd/>
        <w:spacing w:before="60"/>
        <w:ind w:left="1021" w:hanging="284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obecně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Tato projektová dokumentace vytvoří předpoklady pro zřízení 27 nových parkovacích míst + 2 místa pro vozidlo osob ZTP a tím se poněkud zlepší možnosti pro odstavování osobních automobilů v řešeném prostoru. </w:t>
      </w:r>
    </w:p>
    <w:p w:rsidR="001F43DD" w:rsidRPr="001F43DD" w:rsidRDefault="001F43DD" w:rsidP="001F43DD">
      <w:pPr>
        <w:keepNext/>
        <w:numPr>
          <w:ilvl w:val="0"/>
          <w:numId w:val="15"/>
        </w:numPr>
        <w:overflowPunct/>
        <w:autoSpaceDE/>
        <w:autoSpaceDN/>
        <w:adjustRightInd/>
        <w:spacing w:before="180"/>
        <w:ind w:left="1020" w:hanging="283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 xml:space="preserve">technologie dopravy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je jednoduchá a prakticky předurčená stavebním stavem. Parkovací stání jsou navrhována jako kolmá, o základní šířce 2,5 m a 3,5 m pro auta osob ZTP, </w:t>
      </w:r>
      <w:r w:rsidRPr="001F43DD">
        <w:rPr>
          <w:rFonts w:eastAsia="Georgia" w:cs="Georgia"/>
        </w:rPr>
        <w:lastRenderedPageBreak/>
        <w:t xml:space="preserve">k páteřní dvoupruhové slepé komunikaci (jedna dopravní větev vede ke stadionu a druhá pak je vyvinuta na úkor zelené plochy v blízkosti bytového domu).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Pro přístup pěších slouží původní příjezd (nově v jednotné šíři 3 m), ale konstrukce je pouze pochozí, s možností občasného pojezdu (například sanitka…).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Pro průchod z parkoviště jsou ještě do zelené plochy osazeny ploché kameny jako šlapáky, které poslouží pro zkrácení cesty ke vchodům.</w:t>
      </w:r>
    </w:p>
    <w:p w:rsidR="001F43DD" w:rsidRPr="001F43DD" w:rsidRDefault="001F43DD" w:rsidP="001F43DD">
      <w:pPr>
        <w:keepNext/>
        <w:numPr>
          <w:ilvl w:val="0"/>
          <w:numId w:val="16"/>
        </w:numPr>
        <w:overflowPunct/>
        <w:autoSpaceDE/>
        <w:autoSpaceDN/>
        <w:adjustRightInd/>
        <w:spacing w:before="180"/>
        <w:ind w:left="1020" w:hanging="283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vytýčení, situační a výškové řešení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Vytýčení parkovacích pruhů při stávající komunikaci je dáno rovnoběžnou vzdáleností 4,5 (5 m) m od hrany vozovky, koncové body jednotlivých oddělených parkovišť jsou vztaženy kótou k rohu oplocení a kótami mezi sebou. </w:t>
      </w:r>
    </w:p>
    <w:p w:rsidR="001F43DD" w:rsidRPr="001F43DD" w:rsidRDefault="001F43DD" w:rsidP="001F43DD">
      <w:pPr>
        <w:spacing w:before="60"/>
        <w:ind w:firstLine="708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Parkoviště ve vnitrobloku je opět vztaženo kótou k rohu oplocení, zbývající hrany jsou pak vytýčeny rovnoběžnými vzdálenostmi 4,5 m parkoviště, 5,5 m středová komunikace a dalších 4,5 m je široký parkovací pás.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Situační řešení je předurčeno stávající přístupovou komunikací a zbytkovou plochou vnitrobloku, kde byl umístěn maximálně možný počet parkovacích stání při relativní šetrnosti k zachovávaným zeleným plochám.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Hlavní přístupový chodník a parkovací plocha jsou lemovány silničním betonovým obrubníkem osazeným nastojato do betonu s boční opěrou z betonu, nadvýšeným 0,10 m nad zpevněnou plochu.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Na rozhraní středové vozovky a parkovacího pruhu bude osazen zapuštěný záhonový obrubník, uložený do betonového lože.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Pěší chodníky (přístupy ke vchodům) jsou lemovány záhonovým obrubníkem nadvýšeným 0,06 m nad plochu (odvodnění je gravitační do UV).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Výškové řešení je zřejmé z přiložené situace, ze </w:t>
      </w:r>
      <w:proofErr w:type="gramStart"/>
      <w:r w:rsidRPr="001F43DD">
        <w:rPr>
          <w:rFonts w:eastAsia="Georgia" w:cs="Georgia"/>
        </w:rPr>
        <w:t>vzorového  a příčných</w:t>
      </w:r>
      <w:proofErr w:type="gramEnd"/>
      <w:r w:rsidRPr="001F43DD">
        <w:rPr>
          <w:rFonts w:eastAsia="Georgia" w:cs="Georgia"/>
        </w:rPr>
        <w:t xml:space="preserve"> řezů, kde jsou obsaženy všechny potřebné výškové kóty.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Příčný spád parkoviště je navržen proměnný (viz situace) tak, aby ze zpevněných ploch byl zajištěn odtok srážkových vod.</w:t>
      </w:r>
    </w:p>
    <w:p w:rsidR="001F43DD" w:rsidRPr="001F43DD" w:rsidRDefault="001F43DD" w:rsidP="001F43DD">
      <w:pPr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ab/>
        <w:t xml:space="preserve">Hlavní pěší chodník má jednostranný příčný spád 2 % od domu, podélný sklon je stávající, spádován ke stávajícím vpustím – nutno na stavbě důsledně ohlídat, aby plocha chodníku byla příčně i podélně spádována ke vpustím, aby na </w:t>
      </w:r>
      <w:proofErr w:type="gramStart"/>
      <w:r w:rsidRPr="001F43DD">
        <w:rPr>
          <w:rFonts w:eastAsia="Georgia" w:cs="Georgia"/>
        </w:rPr>
        <w:t>se</w:t>
      </w:r>
      <w:proofErr w:type="gramEnd"/>
      <w:r w:rsidRPr="001F43DD">
        <w:rPr>
          <w:rFonts w:eastAsia="Georgia" w:cs="Georgia"/>
        </w:rPr>
        <w:t xml:space="preserve"> na chodníku netvořily kaluže!!! </w:t>
      </w:r>
    </w:p>
    <w:p w:rsidR="001F43DD" w:rsidRPr="001F43DD" w:rsidRDefault="001F43DD" w:rsidP="001F43DD">
      <w:pPr>
        <w:keepNext/>
        <w:numPr>
          <w:ilvl w:val="0"/>
          <w:numId w:val="17"/>
        </w:numPr>
        <w:overflowPunct/>
        <w:autoSpaceDE/>
        <w:autoSpaceDN/>
        <w:adjustRightInd/>
        <w:spacing w:before="180"/>
        <w:ind w:left="1020" w:hanging="283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zemní práce a bourání konstrukcí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Pro možnost realizace parkovací plochy bude sejmuta ornice v tloušťce cca 0,1 m ze zelených ploch, vybourány stávající zpevněné plochy parkoviště, části přístupové komunikace ke stadionu, plochy pro kontejnery a pěšího chodníku.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Dále bude proveden výkop pro konstrukci vozovky (v zeleni) a jemné </w:t>
      </w:r>
      <w:proofErr w:type="spellStart"/>
      <w:r w:rsidRPr="001F43DD">
        <w:rPr>
          <w:rFonts w:eastAsia="Georgia" w:cs="Georgia"/>
        </w:rPr>
        <w:t>doprofilování</w:t>
      </w:r>
      <w:proofErr w:type="spellEnd"/>
      <w:r w:rsidRPr="001F43DD">
        <w:rPr>
          <w:rFonts w:eastAsia="Georgia" w:cs="Georgia"/>
        </w:rPr>
        <w:t xml:space="preserve"> terénu do konečné podoby pláně.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Na odstraňovaných plochách bude vybourán obrubník (hrany pěšího chodníku, </w:t>
      </w:r>
      <w:proofErr w:type="gramStart"/>
      <w:r w:rsidRPr="001F43DD">
        <w:rPr>
          <w:rFonts w:eastAsia="Georgia" w:cs="Georgia"/>
        </w:rPr>
        <w:t>vozovky  i parkoviště</w:t>
      </w:r>
      <w:proofErr w:type="gramEnd"/>
      <w:r w:rsidRPr="001F43DD">
        <w:rPr>
          <w:rFonts w:eastAsia="Georgia" w:cs="Georgia"/>
        </w:rPr>
        <w:t>) a odstraněn klepač na koberce a konstrukce sušáků prádla (možno umístit na jiné místo).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Stejně tak bude vybourán stávající obrubník na severní straně příjezdové komunikace k vratům na stadion (bude nahrazen silničním, nadvýšeným 0,1 m nad plochu.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lastRenderedPageBreak/>
        <w:t xml:space="preserve">Přebytek výkopku a vybourané hmoty budou odvezeny na skládku nebo jiné místo dle určení investora. </w:t>
      </w: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4/ údaje o materiálech - vzorový řez, odvodnění, osvětlení a KTÚ</w:t>
      </w:r>
    </w:p>
    <w:p w:rsidR="001F43DD" w:rsidRPr="001F43DD" w:rsidRDefault="001F43DD" w:rsidP="001F43DD">
      <w:pPr>
        <w:keepNext/>
        <w:numPr>
          <w:ilvl w:val="0"/>
          <w:numId w:val="18"/>
        </w:numPr>
        <w:overflowPunct/>
        <w:autoSpaceDE/>
        <w:autoSpaceDN/>
        <w:adjustRightInd/>
        <w:spacing w:before="60"/>
        <w:ind w:left="1021" w:hanging="284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vzorový řez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Skladba konstrukce parkovací plochy a pěších chodníků je patrná z grafických příloh – vzorového příčného řezu. Navržen je dlážděný kryt parkoviště a chodníků, středová vozovka má navržen živičný kryt, stejně tak plochy pro kontejnery. </w:t>
      </w:r>
    </w:p>
    <w:p w:rsidR="001F43DD" w:rsidRPr="001F43DD" w:rsidRDefault="001F43DD" w:rsidP="001F43DD">
      <w:pPr>
        <w:ind w:firstLine="708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Za vjezdovým prahem z Truhlářské ulice bude varovný pás z reliéfní dlažby šířky 0,4 m (dle vyhlášky č. 398/2009 Sb.).</w:t>
      </w:r>
    </w:p>
    <w:p w:rsidR="001F43DD" w:rsidRPr="001F43DD" w:rsidRDefault="001F43DD" w:rsidP="001F43DD">
      <w:pPr>
        <w:ind w:firstLine="708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Varovný pás bude i v místě napojení pěšího chodníku na přístupovou komunikaci a parkoviště (viz situace).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Při realizaci je nutno jak pláň, tak i jednotlivé konstrukční vrstvy pečlivě hutnit.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Z pohledu dopravního zatížení jsou parkovací plochy navrženy pro zatížení třídy V (NÚP D 2). Vozovky jsou navrženy dle schváleného „Katalogu vozovek pozemních komunikací“ (MD </w:t>
      </w:r>
      <w:proofErr w:type="spellStart"/>
      <w:r w:rsidRPr="001F43DD">
        <w:rPr>
          <w:rFonts w:eastAsia="Georgia" w:cs="Georgia"/>
        </w:rPr>
        <w:t>čj</w:t>
      </w:r>
      <w:proofErr w:type="spellEnd"/>
      <w:r w:rsidRPr="001F43DD">
        <w:rPr>
          <w:rFonts w:eastAsia="Georgia" w:cs="Georgia"/>
        </w:rPr>
        <w:t>. 23978/95).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Mezi parkovacími plochami a pěším chodníkem jsou ve dvou místech navrženy „šlapáky“, pro automobilisty, kteří budou odcházet od odstaveného automobilu nejkratší cestou k bydlišti. </w:t>
      </w:r>
    </w:p>
    <w:p w:rsidR="001F43DD" w:rsidRPr="001F43DD" w:rsidRDefault="001F43DD" w:rsidP="001F43DD">
      <w:pPr>
        <w:keepNext/>
        <w:numPr>
          <w:ilvl w:val="0"/>
          <w:numId w:val="19"/>
        </w:numPr>
        <w:overflowPunct/>
        <w:autoSpaceDE/>
        <w:autoSpaceDN/>
        <w:adjustRightInd/>
        <w:spacing w:before="180"/>
        <w:ind w:left="1020" w:hanging="283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odvodnění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nová parkovací plocha </w:t>
      </w:r>
      <w:proofErr w:type="gramStart"/>
      <w:r w:rsidRPr="001F43DD">
        <w:rPr>
          <w:rFonts w:eastAsia="Georgia" w:cs="Georgia"/>
        </w:rPr>
        <w:t>bude</w:t>
      </w:r>
      <w:proofErr w:type="gramEnd"/>
      <w:r w:rsidRPr="001F43DD">
        <w:rPr>
          <w:rFonts w:eastAsia="Georgia" w:cs="Georgia"/>
        </w:rPr>
        <w:t xml:space="preserve"> odvodněna do dvou nových uličních </w:t>
      </w:r>
      <w:proofErr w:type="gramStart"/>
      <w:r w:rsidRPr="001F43DD">
        <w:rPr>
          <w:rFonts w:eastAsia="Georgia" w:cs="Georgia"/>
        </w:rPr>
        <w:t>vpustí</w:t>
      </w:r>
      <w:proofErr w:type="gramEnd"/>
      <w:r w:rsidRPr="001F43DD">
        <w:rPr>
          <w:rFonts w:eastAsia="Georgia" w:cs="Georgia"/>
        </w:rPr>
        <w:t xml:space="preserve">, další dvě stávající budou vyčištěny a výškově upraveny s nově navrženým povrchem. </w:t>
      </w:r>
    </w:p>
    <w:p w:rsidR="001F43DD" w:rsidRPr="001F43DD" w:rsidRDefault="001F43DD" w:rsidP="001F43DD">
      <w:pPr>
        <w:keepNext/>
        <w:numPr>
          <w:ilvl w:val="0"/>
          <w:numId w:val="20"/>
        </w:numPr>
        <w:overflowPunct/>
        <w:autoSpaceDE/>
        <w:autoSpaceDN/>
        <w:adjustRightInd/>
        <w:spacing w:before="180"/>
        <w:ind w:left="1020" w:hanging="283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osvětlení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Úprava veřejného osvětlení je zpracována v samostatné PD (není součástí tohoto projektu). </w:t>
      </w:r>
    </w:p>
    <w:p w:rsidR="001F43DD" w:rsidRPr="001F43DD" w:rsidRDefault="001F43DD" w:rsidP="001F43DD">
      <w:pPr>
        <w:keepNext/>
        <w:numPr>
          <w:ilvl w:val="0"/>
          <w:numId w:val="21"/>
        </w:numPr>
        <w:tabs>
          <w:tab w:val="left" w:pos="1457"/>
        </w:tabs>
        <w:overflowPunct/>
        <w:autoSpaceDE/>
        <w:autoSpaceDN/>
        <w:adjustRightInd/>
        <w:spacing w:before="180"/>
        <w:ind w:left="1457" w:hanging="360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 xml:space="preserve">konečné terénní úpravy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Zbytkové plochy za obrubníkem budou upraveny do navrženého tvaru (krajnice) a bezodkladně ozeleněny. Jedině takto je možno zabránit zbytečnému splavování zeminy. </w:t>
      </w: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5/ požadavky na vybavení - dopravní značení a provozní režim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se přizpůsobí novému dopravnímu uspořádání v tomto prostoru (viz. </w:t>
      </w:r>
      <w:proofErr w:type="gramStart"/>
      <w:r w:rsidRPr="001F43DD">
        <w:rPr>
          <w:rFonts w:eastAsia="Georgia" w:cs="Georgia"/>
        </w:rPr>
        <w:t>výkresová</w:t>
      </w:r>
      <w:proofErr w:type="gramEnd"/>
      <w:r w:rsidRPr="001F43DD">
        <w:rPr>
          <w:rFonts w:eastAsia="Georgia" w:cs="Georgia"/>
        </w:rPr>
        <w:t xml:space="preserve"> část).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Vodorovné vymezení parkovacích míst bude provedeno v rámci dlažby, kdy bude použito kontrastní barvy dlažby.</w:t>
      </w:r>
    </w:p>
    <w:p w:rsidR="001F43DD" w:rsidRPr="001F43DD" w:rsidRDefault="001F43DD" w:rsidP="001F43DD">
      <w:pPr>
        <w:ind w:firstLine="708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Vodorovné dopravní značení musí svým provedením a umístěním odpovídat příslušným požadavkům TP 65 (zásady pro dopravní značení na pozemních komunikacích) a platným pravidlům silničního provozu (zejména zákonu č. 361/2000 Sb. a jeho prováděcí vyhlášce č. 30/2001 Sb.).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Svislé dopravní značky musí svým provedením a umístěním odpovídat příslušným </w:t>
      </w:r>
      <w:proofErr w:type="gramStart"/>
      <w:r w:rsidRPr="001F43DD">
        <w:rPr>
          <w:rFonts w:eastAsia="Georgia" w:cs="Georgia"/>
        </w:rPr>
        <w:t>požadavkům  ČSN</w:t>
      </w:r>
      <w:proofErr w:type="gramEnd"/>
      <w:r w:rsidRPr="001F43DD">
        <w:rPr>
          <w:rFonts w:eastAsia="Georgia" w:cs="Georgia"/>
        </w:rPr>
        <w:t xml:space="preserve"> 01 8020 (Dopravní značky na pozemních komunikacích) a platným zákonům (zákon 361/2000 Sb., o provozu na pozemních komunikacích ve znění prováděcí vyhlášky).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lastRenderedPageBreak/>
        <w:t>Svislé dopravní značení je doplněno o následující dopravní značky:</w:t>
      </w: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TABULKA.: (nově instalované svislé dopravní značky)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/>
      </w:tblPr>
      <w:tblGrid>
        <w:gridCol w:w="1134"/>
        <w:gridCol w:w="4536"/>
        <w:gridCol w:w="851"/>
        <w:gridCol w:w="2552"/>
      </w:tblGrid>
      <w:tr w:rsidR="001F43DD" w:rsidRPr="001F43DD" w:rsidTr="008A1E62">
        <w:trPr>
          <w:trHeight w:val="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pPr>
              <w:jc w:val="center"/>
            </w:pPr>
            <w:r w:rsidRPr="001F43DD">
              <w:rPr>
                <w:rFonts w:eastAsia="Georgia" w:cs="Georgia"/>
              </w:rPr>
              <w:t>B 12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r w:rsidRPr="001F43DD">
              <w:rPr>
                <w:rFonts w:eastAsia="Georgia" w:cs="Georgia"/>
              </w:rPr>
              <w:t>Zákaz vjezdu všech motorových vozidel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pPr>
              <w:jc w:val="center"/>
            </w:pPr>
            <w:r w:rsidRPr="001F43DD">
              <w:rPr>
                <w:rFonts w:eastAsia="Georgia" w:cs="Georgia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F43DD" w:rsidRPr="001F43DD" w:rsidTr="008A1E62">
        <w:trPr>
          <w:trHeight w:val="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pPr>
              <w:jc w:val="center"/>
            </w:pPr>
            <w:r w:rsidRPr="001F43DD">
              <w:rPr>
                <w:rFonts w:eastAsia="Georgia" w:cs="Georgia"/>
              </w:rPr>
              <w:t>IP 12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r w:rsidRPr="001F43DD">
              <w:rPr>
                <w:rFonts w:eastAsia="Georgia" w:cs="Georgia"/>
              </w:rPr>
              <w:t>Vyhrazené parkoviště se symbolem O1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pPr>
              <w:jc w:val="center"/>
            </w:pPr>
            <w:r w:rsidRPr="001F43DD">
              <w:rPr>
                <w:rFonts w:eastAsia="Georgia" w:cs="Georgia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F43DD" w:rsidRPr="001F43DD" w:rsidRDefault="001F43DD" w:rsidP="008A1E62">
            <w:pPr>
              <w:jc w:val="center"/>
            </w:pPr>
            <w:r w:rsidRPr="001F43DD">
              <w:rPr>
                <w:rFonts w:eastAsia="Georgia" w:cs="Georgia"/>
              </w:rPr>
              <w:t>Včetně VDZ V 10f</w:t>
            </w:r>
          </w:p>
        </w:tc>
      </w:tr>
    </w:tbl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i w:val="0"/>
        </w:rPr>
      </w:pPr>
      <w:proofErr w:type="gramStart"/>
      <w:r w:rsidRPr="001F43DD">
        <w:rPr>
          <w:rFonts w:eastAsia="Georgia" w:cs="Georgia"/>
        </w:rPr>
        <w:t>Stávající  značka</w:t>
      </w:r>
      <w:proofErr w:type="gramEnd"/>
      <w:r w:rsidRPr="001F43DD">
        <w:rPr>
          <w:rFonts w:eastAsia="Georgia" w:cs="Georgia"/>
        </w:rPr>
        <w:t xml:space="preserve"> IP 12 na SPZ 1K3 8703 bude pouze přemístěna na nové místo.</w:t>
      </w: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6/ důsledky na životní prostředí a bezpečnost práce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Z dopravního pohledu je dopravní systém jednoduchý a přehledný bez trvalého dopadu na životní prostředí.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Dočasný dopad na životní prostředí bude při provádění vlastních stavebních prací, kdy je nutno dodržovat základní předpisy a pravidla daná platnou legislativou.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Zejména prašnost a hlučnost je nutno omezit na minimum a zbytečně neobtěžovat okolí.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Po dobu výstavby je nutno dodržovat veškeré příslušné bezpečnostní normy a předpisy (zejména celkové zajištění stavby a překopů, bude-li to nutné k zajištění přístupnosti, pak je třeba přes překopy realizovat lávky pro pěší).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I při práci v ochranném pásmu je nutno dodržet podmínky stanovené jednotlivými správci těchto zařízení.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V následném provozu je pouze nutno dodržovat základní platnou legislativu, zejména platná pravidla silničního provozu a zásady slušné jízdy a chůze.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keepNext/>
        <w:spacing w:before="360"/>
        <w:ind w:left="737" w:hanging="737"/>
        <w:jc w:val="both"/>
        <w:rPr>
          <w:rFonts w:eastAsia="Georgia" w:cs="Georgia"/>
          <w:b/>
          <w:i w:val="0"/>
          <w:sz w:val="26"/>
        </w:rPr>
      </w:pPr>
      <w:r w:rsidRPr="001F43DD">
        <w:rPr>
          <w:rFonts w:eastAsia="Georgia" w:cs="Georgia"/>
          <w:b/>
          <w:sz w:val="26"/>
        </w:rPr>
        <w:t>7/ závěr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Realizací tohoto záměru dojde k žádoucímu zlepšení situace při parkování osobních automobilů v řešeném prostoru při relativně přijatelném zásahu do zelených ploch.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keepNext/>
        <w:numPr>
          <w:ilvl w:val="0"/>
          <w:numId w:val="22"/>
        </w:numPr>
        <w:overflowPunct/>
        <w:autoSpaceDE/>
        <w:autoSpaceDN/>
        <w:adjustRightInd/>
        <w:spacing w:before="180"/>
        <w:ind w:left="1020" w:hanging="283"/>
        <w:jc w:val="both"/>
        <w:textAlignment w:val="auto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ostatní omezující podmínky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Investor při předávání staveniště dodavateli písemně předá i veškeré inženýrské sítě nacházející se v zájmovém prostoru staveniště. Sítě je nutno vytýčit nejen polohově, ale i výškově.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Po pečlivém vytýčení budou, v případě potřeby a po dohodě se správci jednotlivých kabelových sítí, tyto uloženy do chráničky. 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>I při práci v ochranném pásmu je nutno dodržet podmínky stanovené jednotlivými správci těchto zařízení.</w:t>
      </w:r>
    </w:p>
    <w:p w:rsidR="001F43DD" w:rsidRPr="001F43DD" w:rsidRDefault="001F43DD" w:rsidP="001F43DD">
      <w:pPr>
        <w:spacing w:before="60"/>
        <w:ind w:firstLine="737"/>
        <w:jc w:val="both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Poklopy, mříže nebo zakrytí šachtic kanálů, šoupat, uzávěrů všech sítí nacházejících se v zájmovém prostoru budou, v případě potřeby, výškově vyrovnány a sladěny s novým krytem komunikací. </w:t>
      </w:r>
    </w:p>
    <w:p w:rsidR="001F43DD" w:rsidRPr="001F43DD" w:rsidRDefault="001F43DD" w:rsidP="001F43DD">
      <w:pPr>
        <w:keepNext/>
        <w:spacing w:before="180"/>
        <w:ind w:left="737"/>
        <w:jc w:val="both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lastRenderedPageBreak/>
        <w:t>Seznam použitých norem: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736100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Názvosloví silničních komunikací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73 6101</w:t>
      </w:r>
      <w:r w:rsidRPr="001F43DD">
        <w:rPr>
          <w:rFonts w:eastAsia="Georgia" w:cs="Georgia"/>
        </w:rPr>
        <w:tab/>
        <w:t xml:space="preserve">  </w:t>
      </w:r>
      <w:r w:rsidRPr="001F43DD">
        <w:rPr>
          <w:rFonts w:eastAsia="Georgia" w:cs="Georgia"/>
        </w:rPr>
        <w:tab/>
        <w:t>Projektování silnic a dálnic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73 6102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Projektování křižovatek na silnicích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73 6110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Projektování místních komunikací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73 3050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Zemní práce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73 6056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Odstavné a parkovací plochy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30 0026</w:t>
      </w:r>
      <w:r w:rsidRPr="001F43DD">
        <w:rPr>
          <w:rFonts w:eastAsia="Georgia" w:cs="Georgia"/>
        </w:rPr>
        <w:tab/>
        <w:t>Rozměry vozidel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01 8020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Dopravní značky na pozemních komunikacích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>ČSN 01 6005</w:t>
      </w:r>
      <w:r w:rsidRPr="001F43DD">
        <w:rPr>
          <w:rFonts w:eastAsia="Georgia" w:cs="Georgia"/>
        </w:rPr>
        <w:tab/>
      </w:r>
      <w:r w:rsidRPr="001F43DD">
        <w:rPr>
          <w:rFonts w:eastAsia="Georgia" w:cs="Georgia"/>
        </w:rPr>
        <w:tab/>
        <w:t>Prostorové uspořádání sítí technického vybavení</w:t>
      </w:r>
    </w:p>
    <w:p w:rsidR="001F43DD" w:rsidRPr="001F43DD" w:rsidRDefault="001F43DD" w:rsidP="001F43DD">
      <w:pPr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ČSN EN 12899 </w:t>
      </w:r>
      <w:r w:rsidRPr="001F43DD">
        <w:rPr>
          <w:rFonts w:eastAsia="Georgia" w:cs="Georgia"/>
        </w:rPr>
        <w:tab/>
        <w:t>1 Stálé svislé dopravní značení. Část 1: Stálé dopravní značky,</w:t>
      </w:r>
    </w:p>
    <w:p w:rsidR="001F43DD" w:rsidRPr="001F43DD" w:rsidRDefault="001F43DD" w:rsidP="001F43DD">
      <w:pPr>
        <w:tabs>
          <w:tab w:val="left" w:pos="2160"/>
        </w:tabs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ČSN EN 1436 </w:t>
      </w:r>
      <w:r w:rsidRPr="001F43DD">
        <w:rPr>
          <w:rFonts w:eastAsia="Georgia" w:cs="Georgia"/>
        </w:rPr>
        <w:tab/>
        <w:t>Vodorovné dopravní značení - požadavky na dopravní značení</w:t>
      </w:r>
    </w:p>
    <w:p w:rsidR="001F43DD" w:rsidRPr="001F43DD" w:rsidRDefault="001F43DD" w:rsidP="001F43DD">
      <w:pPr>
        <w:tabs>
          <w:tab w:val="left" w:pos="2160"/>
        </w:tabs>
        <w:rPr>
          <w:rFonts w:eastAsia="Georgia" w:cs="Georgia"/>
          <w:i w:val="0"/>
        </w:rPr>
      </w:pPr>
    </w:p>
    <w:p w:rsidR="001F43DD" w:rsidRPr="001F43DD" w:rsidRDefault="001F43DD" w:rsidP="001F43DD">
      <w:pPr>
        <w:keepNext/>
        <w:spacing w:before="180"/>
        <w:ind w:left="737"/>
        <w:jc w:val="both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Platné zákony a jejich prováděcí vyhlášky, zejména: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r w:rsidRPr="001F43DD">
        <w:rPr>
          <w:rFonts w:eastAsia="Georgia" w:cs="Georgia"/>
        </w:rPr>
        <w:t>zákon č. 13/1997 Sb.</w:t>
      </w:r>
      <w:r w:rsidRPr="001F43DD">
        <w:rPr>
          <w:rFonts w:eastAsia="Georgia" w:cs="Georgia"/>
        </w:rPr>
        <w:tab/>
        <w:t>o pozemních komunikacích, ve znění pozdějších předpisů,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proofErr w:type="gramStart"/>
      <w:r w:rsidRPr="001F43DD">
        <w:rPr>
          <w:rFonts w:eastAsia="Georgia" w:cs="Georgia"/>
        </w:rPr>
        <w:t>Vyhláška  č.</w:t>
      </w:r>
      <w:proofErr w:type="gramEnd"/>
      <w:r w:rsidRPr="001F43DD">
        <w:rPr>
          <w:rFonts w:eastAsia="Georgia" w:cs="Georgia"/>
        </w:rPr>
        <w:t>104/1997Sb.</w:t>
      </w:r>
      <w:r w:rsidRPr="001F43DD">
        <w:rPr>
          <w:rFonts w:eastAsia="Georgia" w:cs="Georgia"/>
        </w:rPr>
        <w:tab/>
        <w:t>kterou se provádí zákon o pozemních komunikacích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r w:rsidRPr="001F43DD">
        <w:rPr>
          <w:rFonts w:eastAsia="Georgia" w:cs="Georgia"/>
        </w:rPr>
        <w:t>Vyhláška č.398/2009Sb.</w:t>
      </w:r>
      <w:r w:rsidRPr="001F43DD">
        <w:rPr>
          <w:rFonts w:eastAsia="Georgia" w:cs="Georgia"/>
        </w:rPr>
        <w:tab/>
        <w:t>o technických požadavcích zabezpečujících bezbariérové užívání staveb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zákon č. 361/2000 Sb. </w:t>
      </w:r>
      <w:r w:rsidRPr="001F43DD">
        <w:rPr>
          <w:rFonts w:eastAsia="Georgia" w:cs="Georgia"/>
        </w:rPr>
        <w:tab/>
        <w:t>o provozu na pozemních komunikacích a o změnách některých zákonů, ve znění pozdějších předpisů,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r w:rsidRPr="001F43DD">
        <w:rPr>
          <w:rFonts w:eastAsia="Georgia" w:cs="Georgia"/>
        </w:rPr>
        <w:t>vyhláška č. 30/2001Sb.</w:t>
      </w:r>
      <w:r w:rsidRPr="001F43DD">
        <w:rPr>
          <w:rFonts w:eastAsia="Georgia" w:cs="Georgia"/>
        </w:rPr>
        <w:tab/>
        <w:t>kterou se provádějí pravidla provozu na pozemních komunikacích a úprava a řízení provozu na pozemních komunikacích, ve znění pozdějších předpisů,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r w:rsidRPr="001F43DD">
        <w:rPr>
          <w:rFonts w:eastAsia="Georgia" w:cs="Georgia"/>
        </w:rPr>
        <w:t>zákon č. 56/2001Sb.</w:t>
      </w:r>
      <w:r w:rsidRPr="001F43DD">
        <w:rPr>
          <w:rFonts w:eastAsia="Georgia" w:cs="Georgia"/>
        </w:rPr>
        <w:tab/>
        <w:t xml:space="preserve">o podmínkách provozu vozidel na pozemních komunikacích, a o změně zákona </w:t>
      </w:r>
    </w:p>
    <w:p w:rsidR="001F43DD" w:rsidRPr="001F43DD" w:rsidRDefault="001F43DD" w:rsidP="001F43DD">
      <w:pPr>
        <w:ind w:left="3060" w:hanging="3060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vyhláška č. 341/2002Sb. </w:t>
      </w:r>
      <w:r w:rsidRPr="001F43DD">
        <w:rPr>
          <w:rFonts w:eastAsia="Georgia" w:cs="Georgia"/>
        </w:rPr>
        <w:tab/>
        <w:t>o schvalování technické způsobilosti a technických podmínkách provozu vozidel na pozemních komunikacích, ve znění pozdějších předpisů</w:t>
      </w:r>
    </w:p>
    <w:p w:rsidR="001F43DD" w:rsidRPr="001F43DD" w:rsidRDefault="001F43DD" w:rsidP="001F43DD">
      <w:pPr>
        <w:keepNext/>
        <w:spacing w:before="180"/>
        <w:ind w:left="737"/>
        <w:jc w:val="both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Technické průvodce:</w:t>
      </w:r>
    </w:p>
    <w:p w:rsidR="001F43DD" w:rsidRPr="001F43DD" w:rsidRDefault="001F43DD" w:rsidP="001F43DD">
      <w:pPr>
        <w:ind w:left="1621" w:hanging="1440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TP 65 </w:t>
      </w:r>
      <w:r w:rsidRPr="001F43DD">
        <w:rPr>
          <w:rFonts w:eastAsia="Georgia" w:cs="Georgia"/>
        </w:rPr>
        <w:tab/>
        <w:t>Zásady pro dopravní značení na pozemních komunikacích,</w:t>
      </w:r>
    </w:p>
    <w:p w:rsidR="001F43DD" w:rsidRPr="001F43DD" w:rsidRDefault="001F43DD" w:rsidP="001F43DD">
      <w:pPr>
        <w:ind w:left="1621" w:hanging="1440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TP 66 </w:t>
      </w:r>
      <w:r w:rsidRPr="001F43DD">
        <w:rPr>
          <w:rFonts w:eastAsia="Georgia" w:cs="Georgia"/>
        </w:rPr>
        <w:tab/>
        <w:t>Zásady pro označování pracovních míst na pozemních komunikacích,</w:t>
      </w:r>
    </w:p>
    <w:p w:rsidR="001F43DD" w:rsidRPr="001F43DD" w:rsidRDefault="001F43DD" w:rsidP="001F43DD">
      <w:pPr>
        <w:ind w:left="1621" w:hanging="1440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TP 85 </w:t>
      </w:r>
      <w:r w:rsidRPr="001F43DD">
        <w:rPr>
          <w:rFonts w:eastAsia="Georgia" w:cs="Georgia"/>
        </w:rPr>
        <w:tab/>
        <w:t>Zpomalovací prahy,</w:t>
      </w:r>
    </w:p>
    <w:p w:rsidR="001F43DD" w:rsidRPr="001F43DD" w:rsidRDefault="001F43DD" w:rsidP="001F43DD">
      <w:pPr>
        <w:ind w:left="1621" w:hanging="1440"/>
        <w:rPr>
          <w:rFonts w:eastAsia="Georgia" w:cs="Georgia"/>
          <w:i w:val="0"/>
        </w:rPr>
      </w:pPr>
      <w:r w:rsidRPr="001F43DD">
        <w:rPr>
          <w:rFonts w:eastAsia="Georgia" w:cs="Georgia"/>
        </w:rPr>
        <w:t>TP 100</w:t>
      </w:r>
      <w:r w:rsidRPr="001F43DD">
        <w:rPr>
          <w:rFonts w:eastAsia="Georgia" w:cs="Georgia"/>
        </w:rPr>
        <w:tab/>
        <w:t>Zásady pro orientační dopravní značení na pozemních komunikacích</w:t>
      </w:r>
    </w:p>
    <w:p w:rsidR="001F43DD" w:rsidRPr="001F43DD" w:rsidRDefault="001F43DD" w:rsidP="001F43DD">
      <w:pPr>
        <w:ind w:left="1621" w:hanging="1440"/>
        <w:rPr>
          <w:rFonts w:eastAsia="Georgia" w:cs="Georgia"/>
          <w:i w:val="0"/>
        </w:rPr>
      </w:pPr>
      <w:r w:rsidRPr="001F43DD">
        <w:rPr>
          <w:rFonts w:eastAsia="Georgia" w:cs="Georgia"/>
        </w:rPr>
        <w:t>TP 117</w:t>
      </w:r>
      <w:r w:rsidRPr="001F43DD">
        <w:rPr>
          <w:rFonts w:eastAsia="Georgia" w:cs="Georgia"/>
        </w:rPr>
        <w:tab/>
        <w:t xml:space="preserve"> Zásady pro informační orientační značeni na pozemních komunikacích</w:t>
      </w:r>
    </w:p>
    <w:p w:rsidR="001F43DD" w:rsidRPr="001F43DD" w:rsidRDefault="001F43DD" w:rsidP="001F43DD">
      <w:pPr>
        <w:ind w:left="1621" w:hanging="1440"/>
        <w:rPr>
          <w:rFonts w:eastAsia="Georgia" w:cs="Georgia"/>
          <w:i w:val="0"/>
        </w:rPr>
      </w:pPr>
      <w:r w:rsidRPr="001F43DD">
        <w:rPr>
          <w:rFonts w:eastAsia="Georgia" w:cs="Georgia"/>
        </w:rPr>
        <w:t xml:space="preserve">TP 133 </w:t>
      </w:r>
      <w:r w:rsidRPr="001F43DD">
        <w:rPr>
          <w:rFonts w:eastAsia="Georgia" w:cs="Georgia"/>
        </w:rPr>
        <w:tab/>
        <w:t>Zásady pro vodorovné dopravní značeni na pozemních komunikacích</w:t>
      </w:r>
    </w:p>
    <w:p w:rsidR="001F43DD" w:rsidRPr="001F43DD" w:rsidRDefault="001F43DD" w:rsidP="001F43DD">
      <w:pPr>
        <w:rPr>
          <w:rFonts w:eastAsia="Georgia" w:cs="Georgia"/>
          <w:i w:val="0"/>
        </w:rPr>
      </w:pPr>
    </w:p>
    <w:p w:rsidR="001F43DD" w:rsidRPr="001F43DD" w:rsidRDefault="001F43DD" w:rsidP="001F43DD">
      <w:pPr>
        <w:keepNext/>
        <w:spacing w:before="180"/>
        <w:ind w:left="737"/>
        <w:jc w:val="both"/>
        <w:rPr>
          <w:rFonts w:eastAsia="Georgia" w:cs="Georgia"/>
          <w:b/>
          <w:i w:val="0"/>
        </w:rPr>
      </w:pPr>
      <w:r w:rsidRPr="001F43DD">
        <w:rPr>
          <w:rFonts w:eastAsia="Georgia" w:cs="Georgia"/>
          <w:b/>
        </w:rPr>
        <w:t>statistické údaje</w:t>
      </w:r>
    </w:p>
    <w:p w:rsidR="001F43DD" w:rsidRPr="001F43DD" w:rsidRDefault="001F43DD" w:rsidP="001F43DD">
      <w:pPr>
        <w:tabs>
          <w:tab w:val="right" w:pos="6804"/>
          <w:tab w:val="left" w:pos="6946"/>
        </w:tabs>
        <w:spacing w:before="60"/>
        <w:ind w:firstLine="737"/>
        <w:rPr>
          <w:rFonts w:eastAsia="Georgia" w:cs="Georgia"/>
          <w:i w:val="0"/>
        </w:rPr>
      </w:pPr>
      <w:r w:rsidRPr="001F43DD">
        <w:rPr>
          <w:rFonts w:eastAsia="Georgia" w:cs="Georgia"/>
        </w:rPr>
        <w:t>nová kolmá parkovací místa (normální rozměr) se slepou přístupovou komunikací</w:t>
      </w:r>
      <w:r w:rsidRPr="001F43DD">
        <w:rPr>
          <w:rFonts w:eastAsia="Georgia" w:cs="Georgia"/>
        </w:rPr>
        <w:tab/>
        <w:t xml:space="preserve">27 + 2 </w:t>
      </w:r>
      <w:r w:rsidRPr="001F43DD">
        <w:rPr>
          <w:rFonts w:eastAsia="Georgia" w:cs="Georgia"/>
        </w:rPr>
        <w:tab/>
        <w:t xml:space="preserve">zvětšená parkovací místa pro auta ZP osob </w:t>
      </w:r>
    </w:p>
    <w:p w:rsidR="001F43DD" w:rsidRPr="001F43DD" w:rsidRDefault="001F43DD" w:rsidP="001F43DD">
      <w:pPr>
        <w:jc w:val="center"/>
        <w:rPr>
          <w:rFonts w:eastAsia="Georgia" w:cs="Georgia"/>
          <w:i w:val="0"/>
          <w:sz w:val="16"/>
        </w:rPr>
      </w:pPr>
      <w:r w:rsidRPr="001F43DD">
        <w:rPr>
          <w:rFonts w:eastAsia="Georgia" w:cs="Georgia"/>
          <w:sz w:val="16"/>
        </w:rPr>
        <w:t>_______________________________</w:t>
      </w:r>
    </w:p>
    <w:p w:rsidR="001F43DD" w:rsidRPr="001F43DD" w:rsidRDefault="001F43DD" w:rsidP="001F43DD">
      <w:pPr>
        <w:jc w:val="center"/>
        <w:rPr>
          <w:rFonts w:eastAsia="Georgia" w:cs="Georgia"/>
          <w:i w:val="0"/>
          <w:sz w:val="16"/>
        </w:rPr>
      </w:pPr>
      <w:r w:rsidRPr="001F43DD">
        <w:rPr>
          <w:rFonts w:eastAsia="Georgia" w:cs="Georgia"/>
          <w:sz w:val="16"/>
        </w:rPr>
        <w:t>__________________</w:t>
      </w:r>
    </w:p>
    <w:p w:rsidR="000C2399" w:rsidRPr="001F43DD" w:rsidRDefault="000C2399">
      <w:pPr>
        <w:jc w:val="center"/>
        <w:rPr>
          <w:rFonts w:cs="Arial"/>
          <w:sz w:val="16"/>
          <w:szCs w:val="16"/>
        </w:rPr>
      </w:pPr>
    </w:p>
    <w:sectPr w:rsidR="000C2399" w:rsidRPr="001F43DD" w:rsidSect="004F28C4">
      <w:headerReference w:type="default" r:id="rId8"/>
      <w:footerReference w:type="default" r:id="rId9"/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E62" w:rsidRDefault="008A1E62">
      <w:r>
        <w:separator/>
      </w:r>
    </w:p>
  </w:endnote>
  <w:endnote w:type="continuationSeparator" w:id="0">
    <w:p w:rsidR="008A1E62" w:rsidRDefault="008A1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5670"/>
      <w:gridCol w:w="1701"/>
      <w:gridCol w:w="1701"/>
    </w:tblGrid>
    <w:tr w:rsidR="008A1E62">
      <w:trPr>
        <w:cantSplit/>
      </w:trPr>
      <w:tc>
        <w:tcPr>
          <w:tcW w:w="567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8A1E62" w:rsidRDefault="008A1E62">
          <w:pPr>
            <w:pStyle w:val="Zpat"/>
          </w:pPr>
        </w:p>
      </w:tc>
      <w:tc>
        <w:tcPr>
          <w:tcW w:w="17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shd w:val="pct10" w:color="auto" w:fill="auto"/>
        </w:tcPr>
        <w:p w:rsidR="008A1E62" w:rsidRDefault="008A1E62">
          <w:pPr>
            <w:pStyle w:val="Zpat"/>
            <w:rPr>
              <w:b/>
              <w:i w:val="0"/>
            </w:rPr>
          </w:pPr>
        </w:p>
      </w:tc>
      <w:tc>
        <w:tcPr>
          <w:tcW w:w="17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</w:tcPr>
        <w:p w:rsidR="008A1E62" w:rsidRDefault="008A1E62">
          <w:pPr>
            <w:pStyle w:val="Zpat"/>
          </w:pPr>
          <w:r>
            <w:rPr>
              <w:b/>
              <w:i w:val="0"/>
            </w:rPr>
            <w:fldChar w:fldCharType="begin"/>
          </w:r>
          <w:r>
            <w:rPr>
              <w:b/>
              <w:i w:val="0"/>
            </w:rPr>
            <w:instrText xml:space="preserve"> PAGE </w:instrText>
          </w:r>
          <w:r>
            <w:rPr>
              <w:b/>
              <w:i w:val="0"/>
            </w:rPr>
            <w:fldChar w:fldCharType="separate"/>
          </w:r>
          <w:r w:rsidR="008435D5">
            <w:rPr>
              <w:b/>
              <w:i w:val="0"/>
              <w:noProof/>
            </w:rPr>
            <w:t>3</w:t>
          </w:r>
          <w:r>
            <w:rPr>
              <w:b/>
              <w:i w:val="0"/>
            </w:rPr>
            <w:fldChar w:fldCharType="end"/>
          </w:r>
        </w:p>
      </w:tc>
    </w:tr>
  </w:tbl>
  <w:p w:rsidR="008A1E62" w:rsidRDefault="008A1E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E62" w:rsidRDefault="008A1E62">
      <w:r>
        <w:separator/>
      </w:r>
    </w:p>
  </w:footnote>
  <w:footnote w:type="continuationSeparator" w:id="0">
    <w:p w:rsidR="008A1E62" w:rsidRDefault="008A1E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9072"/>
    </w:tblGrid>
    <w:tr w:rsidR="008A1E62">
      <w:trPr>
        <w:cantSplit/>
        <w:trHeight w:val="654"/>
        <w:jc w:val="center"/>
      </w:trPr>
      <w:tc>
        <w:tcPr>
          <w:tcW w:w="9072" w:type="dxa"/>
        </w:tcPr>
        <w:p w:rsidR="008A1E62" w:rsidRDefault="008A1E62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 xml:space="preserve">Ing. Martin Kohout-IMK projekt; Klínovecká 998; PS 23; 363 01 Ostrov; </w:t>
          </w:r>
        </w:p>
        <w:p w:rsidR="008A1E62" w:rsidRDefault="008A1E62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>tel. 353821435</w:t>
          </w:r>
        </w:p>
        <w:p w:rsidR="008A1E62" w:rsidRDefault="008A1E62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>e-mail: imk.projekt @ volny.cz</w:t>
          </w:r>
        </w:p>
      </w:tc>
    </w:tr>
  </w:tbl>
  <w:p w:rsidR="008A1E62" w:rsidRDefault="008A1E6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5943A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83028358"/>
    <w:lvl w:ilvl="0">
      <w:numFmt w:val="decimal"/>
      <w:lvlText w:val="*"/>
      <w:lvlJc w:val="left"/>
    </w:lvl>
  </w:abstractNum>
  <w:abstractNum w:abstractNumId="2">
    <w:nsid w:val="09BA57D6"/>
    <w:multiLevelType w:val="hybridMultilevel"/>
    <w:tmpl w:val="FF8C48E4"/>
    <w:lvl w:ilvl="0" w:tplc="FFFFFFFF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>
    <w:nsid w:val="0F125D33"/>
    <w:multiLevelType w:val="hybridMultilevel"/>
    <w:tmpl w:val="8E8028E6"/>
    <w:lvl w:ilvl="0" w:tplc="FFFFFFFF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>
    <w:nsid w:val="14105AB7"/>
    <w:multiLevelType w:val="multilevel"/>
    <w:tmpl w:val="DCC4D8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EF209A"/>
    <w:multiLevelType w:val="hybridMultilevel"/>
    <w:tmpl w:val="B19EB0D2"/>
    <w:lvl w:ilvl="0" w:tplc="FFFFFFFF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>
    <w:nsid w:val="32FF0BE2"/>
    <w:multiLevelType w:val="multilevel"/>
    <w:tmpl w:val="353CA1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2624D6"/>
    <w:multiLevelType w:val="multilevel"/>
    <w:tmpl w:val="E1ECBC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6E32EE"/>
    <w:multiLevelType w:val="multilevel"/>
    <w:tmpl w:val="2466DE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350C97"/>
    <w:multiLevelType w:val="multilevel"/>
    <w:tmpl w:val="48ECEB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B94146"/>
    <w:multiLevelType w:val="multilevel"/>
    <w:tmpl w:val="BD54EA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167849"/>
    <w:multiLevelType w:val="hybridMultilevel"/>
    <w:tmpl w:val="D9A2AE36"/>
    <w:lvl w:ilvl="0" w:tplc="0405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2">
    <w:nsid w:val="5A205130"/>
    <w:multiLevelType w:val="hybridMultilevel"/>
    <w:tmpl w:val="CCE4027C"/>
    <w:lvl w:ilvl="0" w:tplc="0405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3">
    <w:nsid w:val="5E756C41"/>
    <w:multiLevelType w:val="hybridMultilevel"/>
    <w:tmpl w:val="86A6FDB8"/>
    <w:lvl w:ilvl="0" w:tplc="FFFFFFFF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4">
    <w:nsid w:val="69204EEA"/>
    <w:multiLevelType w:val="multilevel"/>
    <w:tmpl w:val="33C437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2B29F0"/>
    <w:multiLevelType w:val="hybridMultilevel"/>
    <w:tmpl w:val="15D274D4"/>
    <w:lvl w:ilvl="0" w:tplc="0405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6">
    <w:nsid w:val="6D23263B"/>
    <w:multiLevelType w:val="hybridMultilevel"/>
    <w:tmpl w:val="B948A7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351822"/>
    <w:multiLevelType w:val="multilevel"/>
    <w:tmpl w:val="FA622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230E6B"/>
    <w:multiLevelType w:val="hybridMultilevel"/>
    <w:tmpl w:val="AE629554"/>
    <w:lvl w:ilvl="0" w:tplc="FFFFFFFF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9">
    <w:nsid w:val="7F4F43EF"/>
    <w:multiLevelType w:val="multilevel"/>
    <w:tmpl w:val="DD1E8B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20" w:hanging="283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1020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18"/>
  </w:num>
  <w:num w:numId="6">
    <w:abstractNumId w:val="5"/>
  </w:num>
  <w:num w:numId="7">
    <w:abstractNumId w:val="2"/>
  </w:num>
  <w:num w:numId="8">
    <w:abstractNumId w:val="13"/>
  </w:num>
  <w:num w:numId="9">
    <w:abstractNumId w:val="3"/>
  </w:num>
  <w:num w:numId="1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11">
    <w:abstractNumId w:val="15"/>
  </w:num>
  <w:num w:numId="12">
    <w:abstractNumId w:val="12"/>
  </w:num>
  <w:num w:numId="13">
    <w:abstractNumId w:val="11"/>
  </w:num>
  <w:num w:numId="14">
    <w:abstractNumId w:val="17"/>
  </w:num>
  <w:num w:numId="15">
    <w:abstractNumId w:val="8"/>
  </w:num>
  <w:num w:numId="16">
    <w:abstractNumId w:val="6"/>
  </w:num>
  <w:num w:numId="17">
    <w:abstractNumId w:val="4"/>
  </w:num>
  <w:num w:numId="18">
    <w:abstractNumId w:val="19"/>
  </w:num>
  <w:num w:numId="19">
    <w:abstractNumId w:val="10"/>
  </w:num>
  <w:num w:numId="20">
    <w:abstractNumId w:val="9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intFractionalCharacterWidth/>
  <w:hideGrammaticalErrors/>
  <w:proofState w:spelling="clean" w:grammar="clean"/>
  <w:attachedTemplate r:id="rId1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158"/>
    <w:rsid w:val="00020FB0"/>
    <w:rsid w:val="000C2399"/>
    <w:rsid w:val="000D6558"/>
    <w:rsid w:val="001F43DD"/>
    <w:rsid w:val="002E5730"/>
    <w:rsid w:val="003C16B5"/>
    <w:rsid w:val="004F28C4"/>
    <w:rsid w:val="00675B49"/>
    <w:rsid w:val="008435D5"/>
    <w:rsid w:val="008A1E62"/>
    <w:rsid w:val="00DE0158"/>
    <w:rsid w:val="00FE3CD7"/>
    <w:rsid w:val="00FF4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2399"/>
    <w:pPr>
      <w:overflowPunct w:val="0"/>
      <w:autoSpaceDE w:val="0"/>
      <w:autoSpaceDN w:val="0"/>
      <w:adjustRightInd w:val="0"/>
      <w:textAlignment w:val="baseline"/>
    </w:pPr>
    <w:rPr>
      <w:rFonts w:ascii="Georgia" w:hAnsi="Georgia"/>
      <w:i/>
      <w:color w:val="0070C0"/>
      <w:sz w:val="24"/>
    </w:rPr>
  </w:style>
  <w:style w:type="paragraph" w:styleId="Nadpis1">
    <w:name w:val="heading 1"/>
    <w:basedOn w:val="Normln"/>
    <w:next w:val="Nadpis2"/>
    <w:qFormat/>
    <w:rsid w:val="004F28C4"/>
    <w:pPr>
      <w:keepNext/>
      <w:spacing w:before="960"/>
      <w:ind w:firstLine="737"/>
      <w:jc w:val="both"/>
      <w:outlineLvl w:val="0"/>
    </w:pPr>
    <w:rPr>
      <w:b/>
      <w:caps/>
      <w:sz w:val="32"/>
    </w:rPr>
  </w:style>
  <w:style w:type="paragraph" w:styleId="Nadpis2">
    <w:name w:val="heading 2"/>
    <w:basedOn w:val="Normln"/>
    <w:next w:val="Nadpis3"/>
    <w:qFormat/>
    <w:rsid w:val="004F28C4"/>
    <w:pPr>
      <w:keepNext/>
      <w:spacing w:before="240"/>
      <w:ind w:firstLine="737"/>
      <w:jc w:val="both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odsazen"/>
    <w:qFormat/>
    <w:rsid w:val="004F28C4"/>
    <w:pPr>
      <w:keepNext/>
      <w:spacing w:before="360"/>
      <w:ind w:left="737" w:hanging="737"/>
      <w:jc w:val="both"/>
      <w:outlineLvl w:val="2"/>
    </w:pPr>
    <w:rPr>
      <w:b/>
      <w:sz w:val="26"/>
    </w:rPr>
  </w:style>
  <w:style w:type="paragraph" w:styleId="Nadpis4">
    <w:name w:val="heading 4"/>
    <w:basedOn w:val="Normln"/>
    <w:next w:val="Normlnodsazen"/>
    <w:qFormat/>
    <w:rsid w:val="004F28C4"/>
    <w:pPr>
      <w:keepNext/>
      <w:spacing w:before="180"/>
      <w:ind w:left="737"/>
      <w:jc w:val="both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4F28C4"/>
    <w:pPr>
      <w:ind w:left="708"/>
      <w:outlineLvl w:val="4"/>
    </w:pPr>
    <w:rPr>
      <w:b/>
      <w:sz w:val="20"/>
    </w:rPr>
  </w:style>
  <w:style w:type="paragraph" w:styleId="Nadpis6">
    <w:name w:val="heading 6"/>
    <w:basedOn w:val="Normln"/>
    <w:next w:val="Normlnodsazen"/>
    <w:qFormat/>
    <w:rsid w:val="004F28C4"/>
    <w:pPr>
      <w:ind w:left="708"/>
      <w:outlineLvl w:val="5"/>
    </w:pPr>
    <w:rPr>
      <w:sz w:val="20"/>
      <w:u w:val="single"/>
    </w:rPr>
  </w:style>
  <w:style w:type="paragraph" w:styleId="Nadpis7">
    <w:name w:val="heading 7"/>
    <w:basedOn w:val="Normln"/>
    <w:next w:val="Normlnodsazen"/>
    <w:qFormat/>
    <w:rsid w:val="004F28C4"/>
    <w:pPr>
      <w:ind w:left="708"/>
      <w:outlineLvl w:val="6"/>
    </w:pPr>
    <w:rPr>
      <w:i w:val="0"/>
      <w:sz w:val="20"/>
    </w:rPr>
  </w:style>
  <w:style w:type="paragraph" w:styleId="Nadpis8">
    <w:name w:val="heading 8"/>
    <w:basedOn w:val="Normln"/>
    <w:next w:val="Normlnodsazen"/>
    <w:qFormat/>
    <w:rsid w:val="004F28C4"/>
    <w:pPr>
      <w:ind w:left="708"/>
      <w:outlineLvl w:val="7"/>
    </w:pPr>
    <w:rPr>
      <w:i w:val="0"/>
      <w:sz w:val="20"/>
    </w:rPr>
  </w:style>
  <w:style w:type="paragraph" w:styleId="Nadpis9">
    <w:name w:val="heading 9"/>
    <w:basedOn w:val="Normln"/>
    <w:next w:val="Normlnodsazen"/>
    <w:qFormat/>
    <w:rsid w:val="004F28C4"/>
    <w:pPr>
      <w:ind w:left="708"/>
      <w:outlineLvl w:val="8"/>
    </w:pPr>
    <w:rPr>
      <w:i w:val="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semiHidden/>
    <w:rsid w:val="004F28C4"/>
    <w:pPr>
      <w:spacing w:before="60"/>
      <w:ind w:firstLine="737"/>
      <w:jc w:val="both"/>
    </w:pPr>
  </w:style>
  <w:style w:type="character" w:styleId="slostrnky">
    <w:name w:val="page number"/>
    <w:basedOn w:val="Standardnpsmoodstavce"/>
    <w:semiHidden/>
    <w:rsid w:val="004F28C4"/>
  </w:style>
  <w:style w:type="paragraph" w:styleId="Zpat">
    <w:name w:val="footer"/>
    <w:basedOn w:val="Normlnodsazen"/>
    <w:semiHidden/>
    <w:rsid w:val="004F28C4"/>
    <w:pPr>
      <w:spacing w:before="0"/>
      <w:ind w:firstLine="0"/>
      <w:jc w:val="center"/>
    </w:pPr>
    <w:rPr>
      <w:sz w:val="20"/>
    </w:rPr>
  </w:style>
  <w:style w:type="paragraph" w:styleId="Zhlav">
    <w:name w:val="header"/>
    <w:basedOn w:val="Normln"/>
    <w:link w:val="ZhlavChar"/>
    <w:rsid w:val="004F28C4"/>
    <w:pPr>
      <w:tabs>
        <w:tab w:val="center" w:pos="4252"/>
        <w:tab w:val="right" w:pos="8504"/>
      </w:tabs>
      <w:jc w:val="center"/>
    </w:pPr>
    <w:rPr>
      <w:sz w:val="20"/>
    </w:rPr>
  </w:style>
  <w:style w:type="character" w:styleId="Znakapoznpodarou">
    <w:name w:val="footnote reference"/>
    <w:basedOn w:val="Standardnpsmoodstavce"/>
    <w:semiHidden/>
    <w:rsid w:val="004F28C4"/>
    <w:rPr>
      <w:position w:val="6"/>
      <w:sz w:val="16"/>
    </w:rPr>
  </w:style>
  <w:style w:type="paragraph" w:styleId="Textpoznpodarou">
    <w:name w:val="footnote text"/>
    <w:basedOn w:val="Normln"/>
    <w:semiHidden/>
    <w:rsid w:val="004F28C4"/>
    <w:rPr>
      <w:sz w:val="20"/>
    </w:rPr>
  </w:style>
  <w:style w:type="paragraph" w:customStyle="1" w:styleId="titulnstrana00">
    <w:name w:val="titulní strana 00"/>
    <w:basedOn w:val="titulnstrana0"/>
    <w:rsid w:val="004F28C4"/>
    <w:pPr>
      <w:spacing w:before="0"/>
      <w:ind w:right="567"/>
    </w:pPr>
    <w:rPr>
      <w:sz w:val="24"/>
    </w:rPr>
  </w:style>
  <w:style w:type="paragraph" w:customStyle="1" w:styleId="titulnstrana0">
    <w:name w:val="titulní strana 0"/>
    <w:basedOn w:val="Normln"/>
    <w:next w:val="titulnstrana00"/>
    <w:rsid w:val="004F28C4"/>
    <w:pPr>
      <w:spacing w:before="120"/>
      <w:ind w:right="284"/>
      <w:jc w:val="right"/>
    </w:pPr>
    <w:rPr>
      <w:sz w:val="26"/>
    </w:rPr>
  </w:style>
  <w:style w:type="paragraph" w:customStyle="1" w:styleId="titulnstrana1">
    <w:name w:val="titulní strana 1"/>
    <w:basedOn w:val="Normln"/>
    <w:next w:val="titulnstrana2"/>
    <w:rsid w:val="004F28C4"/>
    <w:pPr>
      <w:keepNext/>
      <w:keepLines/>
      <w:spacing w:before="2640"/>
      <w:jc w:val="center"/>
    </w:pPr>
    <w:rPr>
      <w:caps/>
      <w:sz w:val="48"/>
    </w:rPr>
  </w:style>
  <w:style w:type="paragraph" w:customStyle="1" w:styleId="titulnstrana2">
    <w:name w:val="titulní strana 2"/>
    <w:basedOn w:val="titulnstrana1"/>
    <w:next w:val="titulnstrana3"/>
    <w:rsid w:val="004F28C4"/>
    <w:pPr>
      <w:spacing w:before="240"/>
    </w:pPr>
    <w:rPr>
      <w:b/>
      <w:sz w:val="34"/>
    </w:rPr>
  </w:style>
  <w:style w:type="paragraph" w:customStyle="1" w:styleId="titulnstrana3">
    <w:name w:val="titulní strana 3"/>
    <w:basedOn w:val="titulnstrana2"/>
    <w:next w:val="Normln"/>
    <w:rsid w:val="004F28C4"/>
    <w:pPr>
      <w:spacing w:before="120"/>
    </w:pPr>
    <w:rPr>
      <w:b w:val="0"/>
      <w:caps w:val="0"/>
      <w:sz w:val="30"/>
    </w:rPr>
  </w:style>
  <w:style w:type="paragraph" w:styleId="Normlnweb">
    <w:name w:val="Normal (Web)"/>
    <w:basedOn w:val="Normln"/>
    <w:semiHidden/>
    <w:rsid w:val="004F28C4"/>
    <w:pPr>
      <w:overflowPunct/>
      <w:autoSpaceDE/>
      <w:autoSpaceDN/>
      <w:adjustRightInd/>
      <w:textAlignment w:val="auto"/>
    </w:pPr>
    <w:rPr>
      <w:rFonts w:ascii="Times New Roman" w:hAnsi="Times New Roman"/>
      <w:i w:val="0"/>
      <w:color w:val="FFFFFF"/>
      <w:szCs w:val="24"/>
    </w:rPr>
  </w:style>
  <w:style w:type="paragraph" w:styleId="Zkladntextodsazen">
    <w:name w:val="Body Text Indent"/>
    <w:basedOn w:val="Normln"/>
    <w:semiHidden/>
    <w:rsid w:val="004F28C4"/>
    <w:pPr>
      <w:ind w:firstLine="708"/>
    </w:pPr>
  </w:style>
  <w:style w:type="character" w:customStyle="1" w:styleId="ZhlavChar">
    <w:name w:val="Záhlaví Char"/>
    <w:basedOn w:val="Standardnpsmoodstavce"/>
    <w:link w:val="Zhlav"/>
    <w:rsid w:val="001F43DD"/>
    <w:rPr>
      <w:rFonts w:ascii="Georgia" w:hAnsi="Georgia"/>
      <w:i/>
      <w:color w:val="0070C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Zpr&#225;vy\&#250;&#345;%2002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úř 02</Template>
  <TotalTime>48</TotalTime>
  <Pages>6</Pages>
  <Words>1698</Words>
  <Characters>10271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Martin Kohout</dc:creator>
  <cp:keywords/>
  <dc:description/>
  <cp:lastModifiedBy>IMK</cp:lastModifiedBy>
  <cp:revision>7</cp:revision>
  <cp:lastPrinted>2008-05-30T14:16:00Z</cp:lastPrinted>
  <dcterms:created xsi:type="dcterms:W3CDTF">2012-07-16T05:33:00Z</dcterms:created>
  <dcterms:modified xsi:type="dcterms:W3CDTF">2012-07-17T14:13:00Z</dcterms:modified>
</cp:coreProperties>
</file>