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  <w:r w:rsidRPr="00C954D2">
        <w:rPr>
          <w:rFonts w:eastAsia="MS Mincho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0940DFF" wp14:editId="6AE9AA4E">
            <wp:simplePos x="0" y="0"/>
            <wp:positionH relativeFrom="column">
              <wp:posOffset>-337185</wp:posOffset>
            </wp:positionH>
            <wp:positionV relativeFrom="paragraph">
              <wp:posOffset>133350</wp:posOffset>
            </wp:positionV>
            <wp:extent cx="2543175" cy="1114425"/>
            <wp:effectExtent l="0" t="0" r="9525" b="9525"/>
            <wp:wrapNone/>
            <wp:docPr id="9" name="obrázek 32" descr="loydgroup-RGB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loydgroup-RGB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  <w:r w:rsidRPr="00C954D2">
        <w:rPr>
          <w:rFonts w:eastAsia="MS Mincho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754CB" wp14:editId="62BCBD4C">
                <wp:simplePos x="0" y="0"/>
                <wp:positionH relativeFrom="column">
                  <wp:posOffset>3282315</wp:posOffset>
                </wp:positionH>
                <wp:positionV relativeFrom="paragraph">
                  <wp:posOffset>53340</wp:posOffset>
                </wp:positionV>
                <wp:extent cx="3200400" cy="136144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14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4D2" w:rsidRDefault="00C954D2" w:rsidP="00C954D2">
                            <w:pPr>
                              <w:jc w:val="center"/>
                            </w:pPr>
                          </w:p>
                          <w:p w:rsidR="00C954D2" w:rsidRDefault="00C954D2" w:rsidP="00C954D2">
                            <w:pPr>
                              <w:jc w:val="center"/>
                            </w:pPr>
                          </w:p>
                          <w:p w:rsidR="00C954D2" w:rsidRDefault="00C954D2" w:rsidP="00C954D2">
                            <w:pPr>
                              <w:jc w:val="center"/>
                            </w:pPr>
                          </w:p>
                          <w:p w:rsidR="00C954D2" w:rsidRPr="007226F6" w:rsidRDefault="00C954D2" w:rsidP="00C954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26F6">
                              <w:rPr>
                                <w:sz w:val="28"/>
                                <w:szCs w:val="28"/>
                              </w:rPr>
                              <w:t xml:space="preserve">ENERGIE </w:t>
                            </w:r>
                            <w:r w:rsidRPr="007226F6">
                              <w:rPr>
                                <w:sz w:val="28"/>
                                <w:szCs w:val="28"/>
                                <w:lang w:val="en-US"/>
                              </w:rPr>
                              <w:t>&amp;</w:t>
                            </w:r>
                            <w:r w:rsidRPr="007226F6">
                              <w:rPr>
                                <w:sz w:val="28"/>
                                <w:szCs w:val="28"/>
                              </w:rPr>
                              <w:t xml:space="preserve"> KOMUNIKACE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754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8.45pt;margin-top:4.2pt;width:252pt;height:10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" fillcolor="#d8d8d8" stroked="f">
                <v:textbox>
                  <w:txbxContent>
                    <w:p w:rsidR="00C954D2" w:rsidRDefault="00C954D2" w:rsidP="00C954D2">
                      <w:pPr>
                        <w:jc w:val="center"/>
                      </w:pPr>
                    </w:p>
                    <w:p w:rsidR="00C954D2" w:rsidRDefault="00C954D2" w:rsidP="00C954D2">
                      <w:pPr>
                        <w:jc w:val="center"/>
                      </w:pPr>
                    </w:p>
                    <w:p w:rsidR="00C954D2" w:rsidRDefault="00C954D2" w:rsidP="00C954D2">
                      <w:pPr>
                        <w:jc w:val="center"/>
                      </w:pPr>
                    </w:p>
                    <w:p w:rsidR="00C954D2" w:rsidRPr="007226F6" w:rsidRDefault="00C954D2" w:rsidP="00C954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26F6">
                        <w:rPr>
                          <w:sz w:val="28"/>
                          <w:szCs w:val="28"/>
                        </w:rPr>
                        <w:t xml:space="preserve">ENERGIE </w:t>
                      </w:r>
                      <w:r w:rsidRPr="007226F6">
                        <w:rPr>
                          <w:sz w:val="28"/>
                          <w:szCs w:val="28"/>
                          <w:lang w:val="en-US"/>
                        </w:rPr>
                        <w:t>&amp;</w:t>
                      </w:r>
                      <w:r w:rsidRPr="007226F6">
                        <w:rPr>
                          <w:sz w:val="28"/>
                          <w:szCs w:val="28"/>
                        </w:rPr>
                        <w:t xml:space="preserve"> KOMUNIKACE</w:t>
                      </w:r>
                    </w:p>
                  </w:txbxContent>
                </v:textbox>
              </v:shape>
            </w:pict>
          </mc:Fallback>
        </mc:AlternateContent>
      </w:r>
      <w:r w:rsidRPr="00C954D2">
        <w:rPr>
          <w:rFonts w:eastAsia="MS Mincho" w:cs="Times New Roman"/>
          <w:noProof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7DB6E65F" wp14:editId="6CB0BB93">
            <wp:simplePos x="0" y="0"/>
            <wp:positionH relativeFrom="column">
              <wp:posOffset>1924050</wp:posOffset>
            </wp:positionH>
            <wp:positionV relativeFrom="paragraph">
              <wp:posOffset>53340</wp:posOffset>
            </wp:positionV>
            <wp:extent cx="1356995" cy="1363980"/>
            <wp:effectExtent l="0" t="0" r="0" b="7620"/>
            <wp:wrapNone/>
            <wp:docPr id="8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4D2">
        <w:rPr>
          <w:rFonts w:eastAsia="MS Mincho" w:cs="Times New Roman"/>
          <w:noProof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318FA5A" wp14:editId="00492398">
            <wp:simplePos x="0" y="0"/>
            <wp:positionH relativeFrom="column">
              <wp:posOffset>571500</wp:posOffset>
            </wp:positionH>
            <wp:positionV relativeFrom="paragraph">
              <wp:posOffset>43815</wp:posOffset>
            </wp:positionV>
            <wp:extent cx="1356995" cy="1363980"/>
            <wp:effectExtent l="0" t="0" r="0" b="7620"/>
            <wp:wrapNone/>
            <wp:docPr id="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4D2">
        <w:rPr>
          <w:rFonts w:eastAsia="MS Mincho" w:cs="Times New Roman"/>
          <w:noProof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0E729FB" wp14:editId="0F4238A9">
            <wp:simplePos x="0" y="0"/>
            <wp:positionH relativeFrom="column">
              <wp:posOffset>-781050</wp:posOffset>
            </wp:positionH>
            <wp:positionV relativeFrom="paragraph">
              <wp:posOffset>43815</wp:posOffset>
            </wp:positionV>
            <wp:extent cx="1356995" cy="1364615"/>
            <wp:effectExtent l="0" t="0" r="0" b="6985"/>
            <wp:wrapNone/>
            <wp:docPr id="2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center" w:pos="4536"/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left" w:pos="6400"/>
        </w:tabs>
        <w:spacing w:after="0" w:line="240" w:lineRule="auto"/>
        <w:rPr>
          <w:rFonts w:eastAsia="MS Mincho" w:cs="Times New Roman"/>
          <w:szCs w:val="24"/>
        </w:rPr>
      </w:pPr>
      <w:r w:rsidRPr="00C954D2">
        <w:rPr>
          <w:rFonts w:eastAsia="MS Mincho" w:cs="Times New Roman"/>
          <w:szCs w:val="24"/>
        </w:rPr>
        <w:tab/>
      </w:r>
    </w:p>
    <w:p w:rsidR="00C954D2" w:rsidRPr="00C954D2" w:rsidRDefault="00C954D2" w:rsidP="00C954D2">
      <w:pPr>
        <w:tabs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tabs>
          <w:tab w:val="right" w:pos="9072"/>
        </w:tabs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spacing w:after="0" w:line="240" w:lineRule="auto"/>
        <w:rPr>
          <w:rFonts w:eastAsia="MS Mincho" w:cs="Times New Roman"/>
          <w:szCs w:val="24"/>
        </w:rPr>
      </w:pPr>
    </w:p>
    <w:p w:rsidR="00C954D2" w:rsidRPr="00C954D2" w:rsidRDefault="00C954D2" w:rsidP="00C954D2">
      <w:pPr>
        <w:spacing w:after="0" w:line="240" w:lineRule="auto"/>
        <w:rPr>
          <w:rFonts w:eastAsia="MS Mincho" w:cs="Times New Roman"/>
          <w:szCs w:val="24"/>
        </w:rPr>
      </w:pP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 w:rsidR="00C954D2" w:rsidRPr="00C954D2" w:rsidTr="00803543">
        <w:trPr>
          <w:trHeight w:val="70"/>
        </w:trPr>
        <w:tc>
          <w:tcPr>
            <w:tcW w:w="7139" w:type="dxa"/>
            <w:vAlign w:val="center"/>
          </w:tcPr>
          <w:p w:rsidR="00C954D2" w:rsidRPr="00C954D2" w:rsidRDefault="00C954D2" w:rsidP="00C954D2">
            <w:pPr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44"/>
                <w:szCs w:val="44"/>
              </w:rPr>
            </w:pPr>
            <w:r w:rsidRPr="00C954D2">
              <w:rPr>
                <w:rFonts w:eastAsia="MS Mincho" w:cs="Times New Roman"/>
                <w:b/>
                <w:caps/>
                <w:sz w:val="44"/>
                <w:szCs w:val="44"/>
              </w:rPr>
              <w:t>výzva k podání předběžné nabídky</w:t>
            </w:r>
          </w:p>
          <w:p w:rsidR="00C954D2" w:rsidRPr="00C954D2" w:rsidRDefault="00C954D2" w:rsidP="00C954D2">
            <w:pPr>
              <w:spacing w:after="0" w:line="360" w:lineRule="auto"/>
              <w:jc w:val="center"/>
              <w:rPr>
                <w:rFonts w:eastAsia="MS Mincho" w:cs="Times New Roman"/>
                <w:szCs w:val="24"/>
              </w:rPr>
            </w:pPr>
          </w:p>
          <w:p w:rsidR="00C954D2" w:rsidRPr="00C954D2" w:rsidRDefault="00C954D2" w:rsidP="00210895">
            <w:pPr>
              <w:spacing w:after="0" w:line="276" w:lineRule="auto"/>
              <w:jc w:val="center"/>
              <w:rPr>
                <w:rFonts w:eastAsia="MS Mincho" w:cs="Times New Roman"/>
                <w:szCs w:val="24"/>
              </w:rPr>
            </w:pPr>
            <w:r w:rsidRPr="00C954D2">
              <w:rPr>
                <w:rFonts w:eastAsia="MS Mincho" w:cs="Times New Roman"/>
                <w:szCs w:val="24"/>
              </w:rPr>
              <w:t xml:space="preserve">ve smyslu </w:t>
            </w:r>
            <w:proofErr w:type="spellStart"/>
            <w:r w:rsidRPr="00C954D2">
              <w:rPr>
                <w:rFonts w:eastAsia="MS Mincho" w:cs="Times New Roman"/>
                <w:szCs w:val="24"/>
              </w:rPr>
              <w:t>ust</w:t>
            </w:r>
            <w:proofErr w:type="spellEnd"/>
            <w:r w:rsidRPr="00C954D2">
              <w:rPr>
                <w:rFonts w:eastAsia="MS Mincho" w:cs="Times New Roman"/>
                <w:szCs w:val="24"/>
              </w:rPr>
              <w:t>. §60 až §62zákona č. 134/2016 Sb., o zadávání</w:t>
            </w:r>
          </w:p>
          <w:p w:rsidR="00C954D2" w:rsidRPr="00C954D2" w:rsidRDefault="00C954D2" w:rsidP="00210895">
            <w:pPr>
              <w:spacing w:after="0" w:line="276" w:lineRule="auto"/>
              <w:jc w:val="center"/>
              <w:rPr>
                <w:rFonts w:eastAsia="MS Mincho" w:cs="Times New Roman"/>
                <w:szCs w:val="24"/>
              </w:rPr>
            </w:pPr>
            <w:r w:rsidRPr="00C954D2">
              <w:rPr>
                <w:rFonts w:eastAsia="MS Mincho" w:cs="Times New Roman"/>
                <w:szCs w:val="24"/>
              </w:rPr>
              <w:t>veřejných zakázek, v platném znění (dále rovněž jen „Zákon“)</w:t>
            </w:r>
          </w:p>
          <w:p w:rsidR="00210895" w:rsidRDefault="00210895" w:rsidP="00C954D2">
            <w:pPr>
              <w:spacing w:after="0" w:line="240" w:lineRule="auto"/>
              <w:jc w:val="center"/>
              <w:rPr>
                <w:rFonts w:eastAsia="MS Mincho" w:cs="Times New Roman"/>
                <w:b/>
                <w:caps/>
                <w:szCs w:val="24"/>
              </w:rPr>
            </w:pPr>
          </w:p>
          <w:p w:rsidR="00C954D2" w:rsidRDefault="00C954D2" w:rsidP="00C954D2">
            <w:pPr>
              <w:spacing w:after="0" w:line="240" w:lineRule="auto"/>
              <w:jc w:val="center"/>
              <w:rPr>
                <w:rStyle w:val="Hypertextovodkaz"/>
                <w:rFonts w:cs="Arial"/>
                <w:szCs w:val="40"/>
              </w:rPr>
            </w:pPr>
            <w:r w:rsidRPr="00C954D2">
              <w:rPr>
                <w:rFonts w:eastAsia="MS Mincho" w:cs="Times New Roman"/>
                <w:b/>
                <w:caps/>
                <w:szCs w:val="24"/>
              </w:rPr>
              <w:t xml:space="preserve">k veřejné zakázce </w:t>
            </w:r>
            <w:hyperlink r:id="rId12" w:history="1">
              <w:r w:rsidR="00681162" w:rsidRPr="008C3F2C">
                <w:rPr>
                  <w:rStyle w:val="Hypertextovodkaz"/>
                  <w:rFonts w:cs="Arial"/>
                  <w:szCs w:val="40"/>
                </w:rPr>
                <w:t>Z201</w:t>
              </w:r>
              <w:r w:rsidR="00681162" w:rsidRPr="008C3F2C">
                <w:rPr>
                  <w:rStyle w:val="Hypertextovodkaz"/>
                  <w:rFonts w:cs="Arial"/>
                  <w:szCs w:val="40"/>
                </w:rPr>
                <w:t>8</w:t>
              </w:r>
              <w:r w:rsidR="00681162" w:rsidRPr="008C3F2C">
                <w:rPr>
                  <w:rStyle w:val="Hypertextovodkaz"/>
                  <w:rFonts w:cs="Arial"/>
                  <w:szCs w:val="40"/>
                </w:rPr>
                <w:t>-009370</w:t>
              </w:r>
            </w:hyperlink>
          </w:p>
          <w:p w:rsidR="00681162" w:rsidRPr="00C954D2" w:rsidRDefault="00681162" w:rsidP="00C954D2">
            <w:pPr>
              <w:spacing w:after="0" w:line="240" w:lineRule="auto"/>
              <w:jc w:val="center"/>
              <w:rPr>
                <w:rFonts w:eastAsia="MS Mincho" w:cs="Times New Roman"/>
                <w:b/>
                <w:caps/>
                <w:szCs w:val="24"/>
              </w:rPr>
            </w:pPr>
          </w:p>
        </w:tc>
      </w:tr>
      <w:tr w:rsidR="00C954D2" w:rsidRPr="00C954D2" w:rsidTr="00803543">
        <w:trPr>
          <w:cantSplit/>
          <w:trHeight w:val="70"/>
        </w:trPr>
        <w:tc>
          <w:tcPr>
            <w:tcW w:w="7139" w:type="dxa"/>
            <w:vAlign w:val="center"/>
          </w:tcPr>
          <w:p w:rsidR="00C954D2" w:rsidRPr="00C954D2" w:rsidRDefault="00C954D2" w:rsidP="00C954D2">
            <w:pPr>
              <w:keepNext/>
              <w:keepLines/>
              <w:spacing w:before="120" w:after="120" w:line="240" w:lineRule="auto"/>
              <w:jc w:val="center"/>
              <w:rPr>
                <w:rFonts w:eastAsia="MS Mincho" w:cs="Times New Roman"/>
                <w:b/>
                <w:sz w:val="28"/>
                <w:szCs w:val="28"/>
                <w:lang w:eastAsia="en-GB"/>
              </w:rPr>
            </w:pPr>
            <w:r w:rsidRPr="00C954D2">
              <w:rPr>
                <w:rFonts w:eastAsia="MS Mincho" w:cs="Times New Roman"/>
                <w:b/>
                <w:sz w:val="28"/>
                <w:szCs w:val="28"/>
                <w:lang w:eastAsia="en-GB"/>
              </w:rPr>
              <w:t>Poskytovaní energetických služeb metodou EPC ve vybraných objektech Města Karlovy Vary</w:t>
            </w:r>
          </w:p>
        </w:tc>
      </w:tr>
      <w:tr w:rsidR="00C954D2" w:rsidRPr="00C954D2" w:rsidTr="00803543">
        <w:trPr>
          <w:trHeight w:val="70"/>
        </w:trPr>
        <w:tc>
          <w:tcPr>
            <w:tcW w:w="7139" w:type="dxa"/>
            <w:vAlign w:val="center"/>
          </w:tcPr>
          <w:p w:rsidR="00C954D2" w:rsidRPr="00C954D2" w:rsidRDefault="00C954D2" w:rsidP="00C954D2">
            <w:pPr>
              <w:spacing w:before="120" w:after="120" w:line="240" w:lineRule="auto"/>
              <w:jc w:val="center"/>
              <w:rPr>
                <w:rFonts w:eastAsia="MS Mincho" w:cs="Arial"/>
                <w:bCs/>
                <w:sz w:val="18"/>
                <w:szCs w:val="18"/>
              </w:rPr>
            </w:pPr>
            <w:r w:rsidRPr="00C954D2">
              <w:rPr>
                <w:rFonts w:eastAsia="MS Mincho" w:cs="Arial"/>
                <w:szCs w:val="18"/>
              </w:rPr>
              <w:t xml:space="preserve">veřejná zakázka na služby v nadlimitním režimu zadávaná v jednacím řízení s uveřejněním </w:t>
            </w:r>
          </w:p>
        </w:tc>
      </w:tr>
    </w:tbl>
    <w:p w:rsidR="0083249F" w:rsidRDefault="0083249F"/>
    <w:p w:rsidR="00F32E96" w:rsidRDefault="00F32E96">
      <w:r>
        <w:br w:type="page"/>
      </w:r>
    </w:p>
    <w:p w:rsidR="00F32E96" w:rsidRDefault="00F32E96" w:rsidP="00F32E96">
      <w:pPr>
        <w:pStyle w:val="Nadpis1"/>
      </w:pPr>
      <w:bookmarkStart w:id="0" w:name="_Toc497735256"/>
      <w:r>
        <w:lastRenderedPageBreak/>
        <w:t>identifikační údaje</w:t>
      </w:r>
      <w:bookmarkEnd w:id="0"/>
      <w:r>
        <w:t xml:space="preserve"> </w:t>
      </w:r>
    </w:p>
    <w:p w:rsidR="00F32E96" w:rsidRDefault="00F32E96" w:rsidP="00F32E96">
      <w:pPr>
        <w:pStyle w:val="Nadpis2"/>
      </w:pPr>
      <w:bookmarkStart w:id="1" w:name="_Toc263807807"/>
      <w:bookmarkStart w:id="2" w:name="_Toc497735257"/>
      <w:r>
        <w:t>Identifikační údaje zadavatele</w:t>
      </w:r>
      <w:bookmarkEnd w:id="1"/>
      <w:bookmarkEnd w:id="2"/>
    </w:p>
    <w:p w:rsidR="00F32E96" w:rsidRDefault="00F32E96" w:rsidP="00F32E96">
      <w:pPr>
        <w:pStyle w:val="TableHeading"/>
        <w:tabs>
          <w:tab w:val="clear" w:pos="1800"/>
        </w:tabs>
      </w:pPr>
      <w:r>
        <w:t>Zadavatel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Obchodní firma</w:t>
            </w:r>
          </w:p>
        </w:tc>
        <w:tc>
          <w:tcPr>
            <w:tcW w:w="4395" w:type="dxa"/>
            <w:vAlign w:val="center"/>
          </w:tcPr>
          <w:p w:rsidR="00D87BA6" w:rsidRPr="00472ECE" w:rsidRDefault="00D87BA6" w:rsidP="00D87BA6">
            <w:pPr>
              <w:pStyle w:val="TableText"/>
              <w:rPr>
                <w:b/>
                <w:highlight w:val="yellow"/>
              </w:rPr>
            </w:pPr>
            <w:r>
              <w:t>Statutární město Karlovy Vary</w:t>
            </w:r>
          </w:p>
        </w:tc>
      </w:tr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Sídlo</w:t>
            </w:r>
          </w:p>
        </w:tc>
        <w:tc>
          <w:tcPr>
            <w:tcW w:w="4395" w:type="dxa"/>
            <w:vAlign w:val="center"/>
          </w:tcPr>
          <w:p w:rsidR="00D87BA6" w:rsidRPr="00472ECE" w:rsidRDefault="00D87BA6" w:rsidP="00D87BA6">
            <w:pPr>
              <w:pStyle w:val="TableText"/>
              <w:rPr>
                <w:highlight w:val="yellow"/>
              </w:rPr>
            </w:pPr>
            <w:r w:rsidRPr="00F55AF8">
              <w:t>Moskevská 21, 361 20, Karlovy Vary</w:t>
            </w:r>
          </w:p>
        </w:tc>
      </w:tr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694698" w:rsidRDefault="00D87BA6" w:rsidP="00D87BA6">
            <w:pPr>
              <w:pStyle w:val="TableText"/>
            </w:pPr>
            <w:r w:rsidRPr="00694698">
              <w:t>IČ</w:t>
            </w:r>
          </w:p>
        </w:tc>
        <w:tc>
          <w:tcPr>
            <w:tcW w:w="4395" w:type="dxa"/>
            <w:vAlign w:val="center"/>
          </w:tcPr>
          <w:p w:rsidR="00D87BA6" w:rsidRPr="00472ECE" w:rsidRDefault="00D87BA6" w:rsidP="00D87BA6">
            <w:pPr>
              <w:pStyle w:val="TableText"/>
              <w:rPr>
                <w:highlight w:val="yellow"/>
              </w:rPr>
            </w:pPr>
            <w:r w:rsidRPr="00F55AF8">
              <w:t>00254657</w:t>
            </w:r>
          </w:p>
        </w:tc>
      </w:tr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DIČ</w:t>
            </w:r>
          </w:p>
        </w:tc>
        <w:tc>
          <w:tcPr>
            <w:tcW w:w="4395" w:type="dxa"/>
            <w:vAlign w:val="center"/>
          </w:tcPr>
          <w:p w:rsidR="00D87BA6" w:rsidRPr="00472ECE" w:rsidRDefault="00D87BA6" w:rsidP="00D87BA6">
            <w:pPr>
              <w:pStyle w:val="TableText"/>
              <w:rPr>
                <w:highlight w:val="yellow"/>
              </w:rPr>
            </w:pPr>
            <w:r w:rsidRPr="00F55AF8">
              <w:t>CZ00254657</w:t>
            </w:r>
          </w:p>
        </w:tc>
      </w:tr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Statutární zástupce</w:t>
            </w:r>
          </w:p>
        </w:tc>
        <w:tc>
          <w:tcPr>
            <w:tcW w:w="4395" w:type="dxa"/>
            <w:vAlign w:val="center"/>
          </w:tcPr>
          <w:p w:rsidR="00D87BA6" w:rsidRPr="00472ECE" w:rsidRDefault="00D87BA6" w:rsidP="00D87BA6">
            <w:pPr>
              <w:pStyle w:val="TableText"/>
              <w:rPr>
                <w:highlight w:val="yellow"/>
              </w:rPr>
            </w:pPr>
            <w:r w:rsidRPr="00971C2D">
              <w:t>Ing. Kulhánek Petr</w:t>
            </w:r>
          </w:p>
        </w:tc>
      </w:tr>
      <w:tr w:rsidR="00D87BA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Osoba pověřená jednáním ve věcech obchodních a smluvních</w:t>
            </w:r>
          </w:p>
        </w:tc>
        <w:tc>
          <w:tcPr>
            <w:tcW w:w="4395" w:type="dxa"/>
            <w:vAlign w:val="center"/>
          </w:tcPr>
          <w:p w:rsidR="00D87BA6" w:rsidRPr="00973D82" w:rsidRDefault="00D87BA6" w:rsidP="00D87BA6">
            <w:pPr>
              <w:pStyle w:val="TableText"/>
            </w:pPr>
            <w:r w:rsidRPr="00F55AF8">
              <w:t>Ing. Jaroslav Cícha</w:t>
            </w:r>
          </w:p>
        </w:tc>
      </w:tr>
      <w:tr w:rsidR="00D87BA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Telefon</w:t>
            </w:r>
          </w:p>
        </w:tc>
        <w:tc>
          <w:tcPr>
            <w:tcW w:w="4395" w:type="dxa"/>
            <w:vAlign w:val="center"/>
          </w:tcPr>
          <w:p w:rsidR="00D87BA6" w:rsidRPr="00973D82" w:rsidRDefault="00D87BA6" w:rsidP="00D87BA6">
            <w:pPr>
              <w:pStyle w:val="TableText"/>
            </w:pPr>
            <w:r w:rsidRPr="00F55AF8">
              <w:t>353151241</w:t>
            </w:r>
          </w:p>
        </w:tc>
      </w:tr>
      <w:tr w:rsidR="00D87BA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D87BA6" w:rsidRPr="00720551" w:rsidRDefault="00D87BA6" w:rsidP="00D87BA6">
            <w:pPr>
              <w:pStyle w:val="TableText"/>
            </w:pPr>
            <w:r w:rsidRPr="00720551">
              <w:t>E-mail</w:t>
            </w:r>
          </w:p>
        </w:tc>
        <w:tc>
          <w:tcPr>
            <w:tcW w:w="4395" w:type="dxa"/>
            <w:vAlign w:val="center"/>
          </w:tcPr>
          <w:p w:rsidR="00D87BA6" w:rsidRPr="00973D82" w:rsidRDefault="00D87BA6" w:rsidP="00D87BA6">
            <w:pPr>
              <w:pStyle w:val="TableText"/>
            </w:pPr>
            <w:r w:rsidRPr="00F55AF8">
              <w:rPr>
                <w:spacing w:val="-3"/>
              </w:rPr>
              <w:t>j.cicha@mmkv.cz</w:t>
            </w:r>
          </w:p>
        </w:tc>
      </w:tr>
    </w:tbl>
    <w:p w:rsidR="00F32E96" w:rsidRDefault="00F32E96" w:rsidP="00F32E96">
      <w:pPr>
        <w:pStyle w:val="Nadpis2"/>
      </w:pPr>
      <w:bookmarkStart w:id="3" w:name="_Toc497735258"/>
      <w:r>
        <w:t>Identifikační údaje organizátora výběrového řízení</w:t>
      </w:r>
      <w:bookmarkEnd w:id="3"/>
    </w:p>
    <w:p w:rsidR="00F32E96" w:rsidRDefault="00F32E96" w:rsidP="00F32E96">
      <w:pPr>
        <w:pStyle w:val="TableHeading"/>
        <w:tabs>
          <w:tab w:val="clear" w:pos="1800"/>
        </w:tabs>
      </w:pPr>
      <w:r>
        <w:t xml:space="preserve">Organizátor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Obchodní firma</w:t>
            </w:r>
          </w:p>
        </w:tc>
        <w:tc>
          <w:tcPr>
            <w:tcW w:w="4395" w:type="dxa"/>
            <w:vAlign w:val="center"/>
          </w:tcPr>
          <w:p w:rsidR="00F32E96" w:rsidRPr="008F60E2" w:rsidRDefault="00F32E96" w:rsidP="00803543">
            <w:pPr>
              <w:pStyle w:val="TableText"/>
              <w:rPr>
                <w:lang w:val="en-GB"/>
              </w:rPr>
            </w:pPr>
            <w:r w:rsidRPr="00720551">
              <w:t>LOYD GROUP s.</w:t>
            </w:r>
            <w:proofErr w:type="gramStart"/>
            <w:r w:rsidRPr="00720551">
              <w:t>r.o</w:t>
            </w:r>
            <w:proofErr w:type="gramEnd"/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Sídlo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Za Štěpnicí 311, 252 03 Řitka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Korespondenční adresa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Antala Staška 1859/34, 140 00 Praha 4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IČ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248 21 471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DIČ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CZ24821471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Statutární zástupce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Ing. Pavel Spilka, jednatel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Bankovní spojení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ČSOB, a.s. pobočka Zbraslav</w:t>
            </w:r>
          </w:p>
          <w:p w:rsidR="00F32E96" w:rsidRPr="00720551" w:rsidRDefault="00F32E96" w:rsidP="00803543">
            <w:pPr>
              <w:pStyle w:val="TableText"/>
            </w:pPr>
            <w:r w:rsidRPr="00720551">
              <w:t>č. účtu: 243004188/0300</w:t>
            </w:r>
          </w:p>
        </w:tc>
      </w:tr>
      <w:tr w:rsidR="00F32E96" w:rsidRPr="00720551" w:rsidTr="00803543">
        <w:trPr>
          <w:trHeight w:val="2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Kontaktní osoba pro obsahovou část zadávací dokumentace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 xml:space="preserve">Ing. </w:t>
            </w:r>
            <w:r>
              <w:t>Martin Zapletal</w:t>
            </w:r>
          </w:p>
        </w:tc>
      </w:tr>
      <w:tr w:rsidR="00F32E9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Telefon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+420</w:t>
            </w:r>
            <w:r>
              <w:t> </w:t>
            </w:r>
            <w:r>
              <w:rPr>
                <w:iCs/>
              </w:rPr>
              <w:t>774 723 377</w:t>
            </w:r>
          </w:p>
        </w:tc>
      </w:tr>
      <w:tr w:rsidR="00F32E9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E-mail</w:t>
            </w:r>
          </w:p>
        </w:tc>
        <w:tc>
          <w:tcPr>
            <w:tcW w:w="4395" w:type="dxa"/>
            <w:vAlign w:val="center"/>
          </w:tcPr>
          <w:p w:rsidR="00F32E96" w:rsidRPr="00720551" w:rsidRDefault="005560AC" w:rsidP="00803543">
            <w:pPr>
              <w:pStyle w:val="TableText"/>
            </w:pPr>
            <w:hyperlink r:id="rId13" w:history="1">
              <w:r w:rsidR="00F32E96" w:rsidRPr="00C23DE6">
                <w:rPr>
                  <w:rStyle w:val="Hypertextovodkaz"/>
                  <w:iCs/>
                </w:rPr>
                <w:t>martin.zapletal@loydgroup.cz</w:t>
              </w:r>
            </w:hyperlink>
          </w:p>
        </w:tc>
      </w:tr>
      <w:tr w:rsidR="00F32E9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Kontaktní osoba pro technickou část zadávací dokumentace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  <w:rPr>
                <w:iCs/>
              </w:rPr>
            </w:pPr>
            <w:r w:rsidRPr="00720551">
              <w:rPr>
                <w:iCs/>
              </w:rPr>
              <w:t>Ing. Libor Prouza</w:t>
            </w:r>
          </w:p>
        </w:tc>
      </w:tr>
      <w:tr w:rsidR="00F32E9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Telefon</w:t>
            </w:r>
          </w:p>
        </w:tc>
        <w:tc>
          <w:tcPr>
            <w:tcW w:w="4395" w:type="dxa"/>
            <w:vAlign w:val="center"/>
          </w:tcPr>
          <w:p w:rsidR="00F32E96" w:rsidRPr="00720551" w:rsidRDefault="00F32E96" w:rsidP="00803543">
            <w:pPr>
              <w:pStyle w:val="TableText"/>
              <w:rPr>
                <w:iCs/>
              </w:rPr>
            </w:pPr>
            <w:r>
              <w:rPr>
                <w:iCs/>
              </w:rPr>
              <w:t>+420 602 60</w:t>
            </w:r>
            <w:r w:rsidRPr="00720551">
              <w:rPr>
                <w:iCs/>
              </w:rPr>
              <w:t>9 154</w:t>
            </w:r>
          </w:p>
        </w:tc>
      </w:tr>
      <w:tr w:rsidR="00F32E96" w:rsidRPr="00720551" w:rsidTr="00803543">
        <w:trPr>
          <w:trHeight w:val="70"/>
          <w:jc w:val="center"/>
        </w:trPr>
        <w:tc>
          <w:tcPr>
            <w:tcW w:w="4394" w:type="dxa"/>
            <w:vAlign w:val="center"/>
          </w:tcPr>
          <w:p w:rsidR="00F32E96" w:rsidRPr="00720551" w:rsidRDefault="00F32E96" w:rsidP="00803543">
            <w:pPr>
              <w:pStyle w:val="TableText"/>
            </w:pPr>
            <w:r w:rsidRPr="00720551">
              <w:t>E-mail</w:t>
            </w:r>
          </w:p>
        </w:tc>
        <w:tc>
          <w:tcPr>
            <w:tcW w:w="4395" w:type="dxa"/>
            <w:vAlign w:val="center"/>
          </w:tcPr>
          <w:p w:rsidR="00F32E96" w:rsidRPr="00720551" w:rsidRDefault="005560AC" w:rsidP="00803543">
            <w:pPr>
              <w:pStyle w:val="TableText"/>
              <w:rPr>
                <w:iCs/>
              </w:rPr>
            </w:pPr>
            <w:hyperlink r:id="rId14" w:history="1">
              <w:r w:rsidR="00F32E96" w:rsidRPr="00720551">
                <w:rPr>
                  <w:rStyle w:val="Hypertextovodkaz"/>
                  <w:iCs/>
                </w:rPr>
                <w:t>libor.prouza@loydgroup.cz</w:t>
              </w:r>
            </w:hyperlink>
            <w:r w:rsidR="00F32E96" w:rsidRPr="00720551">
              <w:rPr>
                <w:iCs/>
              </w:rPr>
              <w:t xml:space="preserve"> </w:t>
            </w:r>
          </w:p>
        </w:tc>
      </w:tr>
    </w:tbl>
    <w:p w:rsidR="00F32E96" w:rsidRPr="008E4F1E" w:rsidRDefault="00F32E96" w:rsidP="00F32E96">
      <w:pPr>
        <w:pStyle w:val="MainText"/>
      </w:pPr>
    </w:p>
    <w:p w:rsidR="00F32E96" w:rsidRDefault="00F32E96" w:rsidP="00F32E96">
      <w:pPr>
        <w:pStyle w:val="Nadpis2"/>
        <w:tabs>
          <w:tab w:val="clear" w:pos="576"/>
        </w:tabs>
        <w:ind w:left="720" w:hanging="720"/>
      </w:pPr>
      <w:bookmarkStart w:id="4" w:name="_Toc497735259"/>
      <w:r>
        <w:t>Označení osob, které vypracovaly jednotlivé části zadávací dokumentace</w:t>
      </w:r>
      <w:bookmarkEnd w:id="4"/>
      <w:r>
        <w:t xml:space="preserve"> 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4463"/>
        <w:gridCol w:w="4326"/>
      </w:tblGrid>
      <w:tr w:rsidR="00F32E96" w:rsidTr="00E84957">
        <w:tc>
          <w:tcPr>
            <w:tcW w:w="4463" w:type="dxa"/>
          </w:tcPr>
          <w:p w:rsidR="00F32E96" w:rsidRDefault="00F32E96" w:rsidP="00803543">
            <w:pPr>
              <w:pStyle w:val="MainText"/>
            </w:pPr>
            <w:r>
              <w:t xml:space="preserve">Zadávací dokumentace – obecná část </w:t>
            </w:r>
          </w:p>
        </w:tc>
        <w:tc>
          <w:tcPr>
            <w:tcW w:w="4326" w:type="dxa"/>
          </w:tcPr>
          <w:p w:rsidR="00F32E96" w:rsidRDefault="00F32E96" w:rsidP="00803543">
            <w:pPr>
              <w:pStyle w:val="MainText"/>
              <w:spacing w:before="0"/>
            </w:pPr>
            <w:r>
              <w:t xml:space="preserve">LOYD GROUP s.r.o. </w:t>
            </w:r>
          </w:p>
          <w:p w:rsidR="00F32E96" w:rsidRDefault="00F32E96" w:rsidP="00803543">
            <w:pPr>
              <w:pStyle w:val="MainText"/>
              <w:spacing w:before="0"/>
            </w:pPr>
            <w:r w:rsidRPr="00720551">
              <w:t xml:space="preserve">Za Štěpnicí 311, </w:t>
            </w:r>
          </w:p>
          <w:p w:rsidR="00F32E96" w:rsidRDefault="00F32E96" w:rsidP="00803543">
            <w:pPr>
              <w:pStyle w:val="MainText"/>
              <w:spacing w:before="0"/>
            </w:pPr>
            <w:r w:rsidRPr="00720551">
              <w:t>252 03 Řitka</w:t>
            </w:r>
            <w:r>
              <w:t xml:space="preserve"> </w:t>
            </w:r>
          </w:p>
        </w:tc>
      </w:tr>
      <w:tr w:rsidR="00F32E96" w:rsidTr="00E84957">
        <w:tc>
          <w:tcPr>
            <w:tcW w:w="4463" w:type="dxa"/>
          </w:tcPr>
          <w:p w:rsidR="00F32E96" w:rsidRDefault="00F32E96" w:rsidP="00803543">
            <w:pPr>
              <w:pStyle w:val="MainText"/>
            </w:pPr>
            <w:r>
              <w:t xml:space="preserve">Technické specifikace </w:t>
            </w:r>
          </w:p>
        </w:tc>
        <w:tc>
          <w:tcPr>
            <w:tcW w:w="4326" w:type="dxa"/>
          </w:tcPr>
          <w:p w:rsidR="00F32E96" w:rsidRDefault="00F32E96" w:rsidP="00803543">
            <w:pPr>
              <w:pStyle w:val="MainText"/>
              <w:spacing w:before="0"/>
            </w:pPr>
            <w:r>
              <w:t xml:space="preserve">LOYD GROUP s.r.o. </w:t>
            </w:r>
          </w:p>
          <w:p w:rsidR="00F32E96" w:rsidRDefault="00F32E96" w:rsidP="00803543">
            <w:pPr>
              <w:pStyle w:val="MainText"/>
              <w:spacing w:before="0"/>
            </w:pPr>
            <w:r w:rsidRPr="00720551">
              <w:t xml:space="preserve">Za Štěpnicí 311, </w:t>
            </w:r>
          </w:p>
          <w:p w:rsidR="00F32E96" w:rsidRDefault="00F32E96" w:rsidP="00803543">
            <w:pPr>
              <w:pStyle w:val="MainText"/>
              <w:spacing w:before="0"/>
            </w:pPr>
            <w:r w:rsidRPr="00720551">
              <w:t>252 03 Řitka</w:t>
            </w:r>
          </w:p>
        </w:tc>
      </w:tr>
      <w:tr w:rsidR="00F32E96" w:rsidTr="00E84957">
        <w:tc>
          <w:tcPr>
            <w:tcW w:w="4463" w:type="dxa"/>
          </w:tcPr>
          <w:p w:rsidR="00F32E96" w:rsidRDefault="00F32E96" w:rsidP="00803543">
            <w:pPr>
              <w:pStyle w:val="MainText"/>
            </w:pPr>
            <w:r>
              <w:lastRenderedPageBreak/>
              <w:t xml:space="preserve">Smluvní podmínky </w:t>
            </w:r>
          </w:p>
        </w:tc>
        <w:tc>
          <w:tcPr>
            <w:tcW w:w="4326" w:type="dxa"/>
          </w:tcPr>
          <w:p w:rsidR="00F32E96" w:rsidRDefault="00F32E96" w:rsidP="00803543">
            <w:pPr>
              <w:pStyle w:val="TableText"/>
              <w:rPr>
                <w:iCs/>
              </w:rPr>
            </w:pPr>
            <w:r w:rsidRPr="008E4F1E">
              <w:rPr>
                <w:iCs/>
              </w:rPr>
              <w:t xml:space="preserve">Asociace poskytovatelů energetických </w:t>
            </w:r>
            <w:proofErr w:type="spellStart"/>
            <w:proofErr w:type="gramStart"/>
            <w:r w:rsidRPr="008E4F1E">
              <w:rPr>
                <w:iCs/>
              </w:rPr>
              <w:t>služeb,z.s</w:t>
            </w:r>
            <w:proofErr w:type="spellEnd"/>
            <w:r w:rsidRPr="008E4F1E">
              <w:rPr>
                <w:iCs/>
              </w:rPr>
              <w:t>.</w:t>
            </w:r>
            <w:proofErr w:type="gramEnd"/>
            <w:r w:rsidRPr="008E4F1E">
              <w:rPr>
                <w:iCs/>
              </w:rPr>
              <w:t xml:space="preserve"> </w:t>
            </w:r>
          </w:p>
          <w:p w:rsidR="00F32E96" w:rsidRDefault="00F32E96" w:rsidP="00803543">
            <w:pPr>
              <w:pStyle w:val="TableText"/>
              <w:rPr>
                <w:iCs/>
              </w:rPr>
            </w:pPr>
            <w:r w:rsidRPr="008E4F1E">
              <w:rPr>
                <w:iCs/>
              </w:rPr>
              <w:t>IČO 72545879,</w:t>
            </w:r>
            <w:r>
              <w:rPr>
                <w:iCs/>
              </w:rPr>
              <w:t xml:space="preserve"> </w:t>
            </w:r>
          </w:p>
          <w:p w:rsidR="00F32E96" w:rsidRDefault="00F32E96" w:rsidP="00803543">
            <w:pPr>
              <w:pStyle w:val="TableText"/>
            </w:pPr>
            <w:r w:rsidRPr="008E4F1E">
              <w:rPr>
                <w:iCs/>
              </w:rPr>
              <w:t>U Voborníků</w:t>
            </w:r>
            <w:r>
              <w:rPr>
                <w:iCs/>
              </w:rPr>
              <w:t xml:space="preserve"> </w:t>
            </w:r>
            <w:r w:rsidRPr="008E4F1E">
              <w:rPr>
                <w:iCs/>
              </w:rPr>
              <w:t>852/10, 190 00 Praha 9</w:t>
            </w:r>
          </w:p>
        </w:tc>
      </w:tr>
    </w:tbl>
    <w:p w:rsidR="00F32E96" w:rsidRDefault="00F32E96" w:rsidP="00F32E96"/>
    <w:p w:rsidR="00F32E96" w:rsidRPr="00472ECE" w:rsidRDefault="00F32E96" w:rsidP="00F32E96">
      <w:r w:rsidRPr="00472ECE">
        <w:t xml:space="preserve">Kontaktní osoby zajišťují veškerou komunikaci zadavatele s dodavateli (tím není dotčeno oprávnění statutárního orgánu či jiné pověřené osoby zadavatele) a je v souladu s </w:t>
      </w:r>
      <w:proofErr w:type="spellStart"/>
      <w:r w:rsidRPr="00472ECE">
        <w:t>ust</w:t>
      </w:r>
      <w:proofErr w:type="spellEnd"/>
      <w:r w:rsidRPr="00472ECE">
        <w:t xml:space="preserve">. § 43 ZZVZ pověřena výkonem zadavatelských činností v tomto zadávacím řízení. Kontaktní osoba není oprávněna za zadavatele činit kroky taxativně vymezené v § 43 odst. 2 ZZVZ </w:t>
      </w:r>
    </w:p>
    <w:p w:rsidR="002E7C1E" w:rsidRPr="001665AE" w:rsidRDefault="002E7C1E" w:rsidP="002E7C1E">
      <w:pPr>
        <w:pStyle w:val="Nadpis1"/>
        <w:keepLines/>
        <w:tabs>
          <w:tab w:val="clear" w:pos="432"/>
        </w:tabs>
        <w:spacing w:before="240"/>
      </w:pPr>
      <w:bookmarkStart w:id="5" w:name="_Toc493538163"/>
      <w:r w:rsidRPr="001665AE">
        <w:t>Odkaz na uveřejnění oznámení o zahájení zadávacího řízení</w:t>
      </w:r>
      <w:bookmarkEnd w:id="5"/>
      <w:r w:rsidRPr="001665AE">
        <w:t xml:space="preserve"> </w:t>
      </w:r>
    </w:p>
    <w:p w:rsidR="002E7C1E" w:rsidRPr="00BF4E6A" w:rsidRDefault="002E7C1E" w:rsidP="002E7C1E">
      <w:pPr>
        <w:pStyle w:val="Titulek"/>
        <w:keepNext/>
        <w:spacing w:after="0"/>
        <w:rPr>
          <w:b/>
          <w:color w:val="auto"/>
        </w:rPr>
      </w:pPr>
      <w:r w:rsidRPr="00BF4E6A">
        <w:rPr>
          <w:b/>
          <w:color w:val="auto"/>
        </w:rPr>
        <w:t xml:space="preserve"> 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743"/>
        <w:gridCol w:w="6182"/>
      </w:tblGrid>
      <w:tr w:rsidR="002E7C1E" w:rsidRPr="003C556D" w:rsidTr="00803543">
        <w:tc>
          <w:tcPr>
            <w:tcW w:w="0" w:type="auto"/>
            <w:vAlign w:val="center"/>
          </w:tcPr>
          <w:p w:rsidR="002E7C1E" w:rsidRPr="003C556D" w:rsidRDefault="002E7C1E" w:rsidP="00803543">
            <w:pPr>
              <w:spacing w:before="240"/>
              <w:jc w:val="left"/>
            </w:pPr>
            <w:r>
              <w:t>Odkaz na věstník veřejných zakázek</w:t>
            </w:r>
          </w:p>
        </w:tc>
        <w:tc>
          <w:tcPr>
            <w:tcW w:w="0" w:type="auto"/>
            <w:vAlign w:val="center"/>
          </w:tcPr>
          <w:p w:rsidR="002E7C1E" w:rsidRPr="003C556D" w:rsidRDefault="00681162" w:rsidP="00803543">
            <w:pPr>
              <w:jc w:val="center"/>
            </w:pPr>
            <w:hyperlink r:id="rId15" w:history="1">
              <w:r>
                <w:rPr>
                  <w:rStyle w:val="Hypertextovodkaz"/>
                  <w:rFonts w:ascii="Tahoma" w:hAnsi="Tahoma" w:cs="Tahoma"/>
                  <w:color w:val="004F7A"/>
                  <w:sz w:val="19"/>
                  <w:szCs w:val="19"/>
                  <w:shd w:val="clear" w:color="auto" w:fill="D6E9F5"/>
                </w:rPr>
                <w:t>https://www.vestnikverejnychzakazek.cz/Form02/Display/61516</w:t>
              </w:r>
            </w:hyperlink>
          </w:p>
        </w:tc>
      </w:tr>
      <w:tr w:rsidR="002E7C1E" w:rsidRPr="003C556D" w:rsidTr="00803543">
        <w:tc>
          <w:tcPr>
            <w:tcW w:w="0" w:type="auto"/>
            <w:vAlign w:val="center"/>
          </w:tcPr>
          <w:p w:rsidR="002E7C1E" w:rsidRPr="003C556D" w:rsidRDefault="002E7C1E" w:rsidP="00803543">
            <w:pPr>
              <w:spacing w:before="240"/>
              <w:jc w:val="left"/>
            </w:pPr>
            <w:r>
              <w:t>Odkaz na profil zadavatele</w:t>
            </w:r>
          </w:p>
        </w:tc>
        <w:tc>
          <w:tcPr>
            <w:tcW w:w="0" w:type="auto"/>
            <w:vAlign w:val="center"/>
          </w:tcPr>
          <w:p w:rsidR="002E7C1E" w:rsidRPr="003C556D" w:rsidRDefault="00681162" w:rsidP="00803543">
            <w:pPr>
              <w:jc w:val="center"/>
            </w:pPr>
            <w:hyperlink r:id="rId16" w:history="1">
              <w:r>
                <w:rPr>
                  <w:rStyle w:val="Hypertextovodkaz"/>
                  <w:rFonts w:ascii="Tahoma" w:hAnsi="Tahoma" w:cs="Tahoma"/>
                  <w:color w:val="004F7A"/>
                  <w:sz w:val="19"/>
                  <w:szCs w:val="19"/>
                  <w:shd w:val="clear" w:color="auto" w:fill="D6E9F5"/>
                </w:rPr>
                <w:t>https://ezak.mmkv.cz/v</w:t>
              </w:r>
              <w:r>
                <w:rPr>
                  <w:rStyle w:val="Hypertextovodkaz"/>
                  <w:rFonts w:ascii="Tahoma" w:hAnsi="Tahoma" w:cs="Tahoma"/>
                  <w:color w:val="004F7A"/>
                  <w:sz w:val="19"/>
                  <w:szCs w:val="19"/>
                  <w:shd w:val="clear" w:color="auto" w:fill="D6E9F5"/>
                </w:rPr>
                <w:t>z</w:t>
              </w:r>
              <w:r>
                <w:rPr>
                  <w:rStyle w:val="Hypertextovodkaz"/>
                  <w:rFonts w:ascii="Tahoma" w:hAnsi="Tahoma" w:cs="Tahoma"/>
                  <w:color w:val="004F7A"/>
                  <w:sz w:val="19"/>
                  <w:szCs w:val="19"/>
                  <w:shd w:val="clear" w:color="auto" w:fill="D6E9F5"/>
                </w:rPr>
                <w:t>00000647</w:t>
              </w:r>
            </w:hyperlink>
          </w:p>
        </w:tc>
      </w:tr>
    </w:tbl>
    <w:p w:rsidR="002E7C1E" w:rsidRDefault="002E7C1E" w:rsidP="002E7C1E">
      <w:pPr>
        <w:keepNext/>
        <w:tabs>
          <w:tab w:val="num" w:pos="432"/>
          <w:tab w:val="num" w:pos="576"/>
        </w:tabs>
        <w:ind w:left="432" w:hanging="432"/>
        <w:outlineLvl w:val="0"/>
        <w:rPr>
          <w:rFonts w:cs="Arial"/>
          <w:b/>
          <w:bCs/>
          <w:caps/>
        </w:rPr>
      </w:pPr>
    </w:p>
    <w:p w:rsidR="002E7C1E" w:rsidRPr="0009665D" w:rsidRDefault="002E7C1E" w:rsidP="002E7C1E">
      <w:pPr>
        <w:pStyle w:val="Nadpis1"/>
        <w:keepLines/>
        <w:tabs>
          <w:tab w:val="clear" w:pos="432"/>
        </w:tabs>
        <w:spacing w:before="240"/>
        <w:rPr>
          <w:b w:val="0"/>
          <w:bCs w:val="0"/>
          <w:caps w:val="0"/>
        </w:rPr>
      </w:pPr>
      <w:bookmarkStart w:id="6" w:name="_Toc493538164"/>
      <w:r w:rsidRPr="0009665D">
        <w:t>Lhůta na podání předběžných nabídek</w:t>
      </w:r>
      <w:bookmarkEnd w:id="6"/>
      <w:r w:rsidRPr="0009665D">
        <w:t xml:space="preserve"> </w:t>
      </w:r>
    </w:p>
    <w:p w:rsidR="002E7C1E" w:rsidRPr="003B190C" w:rsidRDefault="002E7C1E" w:rsidP="00210895">
      <w:pPr>
        <w:spacing w:before="240"/>
      </w:pPr>
      <w:r w:rsidRPr="003B190C">
        <w:t xml:space="preserve">Lhůta pro doručení </w:t>
      </w:r>
      <w:r>
        <w:t>předběžných nabídek</w:t>
      </w:r>
      <w:r w:rsidRPr="003B190C">
        <w:t xml:space="preserve"> končí dnem </w:t>
      </w:r>
      <w:r w:rsidRPr="00210895">
        <w:rPr>
          <w:b/>
        </w:rPr>
        <w:t>11. 6. 2018 v 10:00</w:t>
      </w:r>
    </w:p>
    <w:p w:rsidR="002E7C1E" w:rsidRPr="003B190C" w:rsidRDefault="002E7C1E" w:rsidP="00210895">
      <w:pPr>
        <w:spacing w:before="240"/>
      </w:pPr>
      <w:r w:rsidRPr="003B190C">
        <w:t xml:space="preserve">Účastník zadávacího řízení podává </w:t>
      </w:r>
      <w:r>
        <w:t xml:space="preserve">předběžné nabídky </w:t>
      </w:r>
      <w:r w:rsidRPr="003B190C">
        <w:t xml:space="preserve">v řádně </w:t>
      </w:r>
      <w:proofErr w:type="gramStart"/>
      <w:r w:rsidRPr="003B190C">
        <w:t xml:space="preserve">uzavřené </w:t>
      </w:r>
      <w:r>
        <w:t xml:space="preserve"> </w:t>
      </w:r>
      <w:r w:rsidRPr="003B190C">
        <w:t>obálce</w:t>
      </w:r>
      <w:proofErr w:type="gramEnd"/>
      <w:r w:rsidRPr="003B190C">
        <w:t xml:space="preserve">, opatřené zpětnou adresou a zabezpečené na přelepu proti otevření, a to buď </w:t>
      </w:r>
      <w:r w:rsidRPr="003B190C">
        <w:rPr>
          <w:b/>
        </w:rPr>
        <w:t>doporučeně poštou</w:t>
      </w:r>
      <w:r w:rsidRPr="003B190C">
        <w:t xml:space="preserve">, </w:t>
      </w:r>
      <w:r w:rsidRPr="003B190C">
        <w:rPr>
          <w:b/>
        </w:rPr>
        <w:t>nebo osobně na adresu zadavatele.</w:t>
      </w:r>
      <w:r w:rsidRPr="003B190C">
        <w:t xml:space="preserve"> </w:t>
      </w:r>
    </w:p>
    <w:p w:rsidR="002E7C1E" w:rsidRP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 xml:space="preserve">Magistrát města Karlovy Vary </w:t>
      </w:r>
    </w:p>
    <w:p w:rsidR="002E7C1E" w:rsidRP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>Podatelna</w:t>
      </w:r>
    </w:p>
    <w:p w:rsidR="002E7C1E" w:rsidRP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 xml:space="preserve">Moskevská 21, </w:t>
      </w:r>
    </w:p>
    <w:p w:rsidR="002E7C1E" w:rsidRP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>361 20, Karlovy Vary</w:t>
      </w:r>
    </w:p>
    <w:p w:rsidR="002E7C1E" w:rsidRP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>Pracovní doba:</w:t>
      </w:r>
    </w:p>
    <w:p w:rsidR="002E7C1E" w:rsidRDefault="002E7C1E" w:rsidP="00210895">
      <w:pPr>
        <w:keepNext/>
        <w:tabs>
          <w:tab w:val="num" w:pos="0"/>
        </w:tabs>
        <w:spacing w:after="0"/>
        <w:outlineLvl w:val="0"/>
        <w:rPr>
          <w:rFonts w:eastAsia="Arial Unicode MS" w:cs="Arial Unicode MS"/>
          <w:szCs w:val="20"/>
          <w:lang w:eastAsia="cs-CZ"/>
        </w:rPr>
      </w:pPr>
      <w:r w:rsidRPr="002E7C1E">
        <w:rPr>
          <w:rFonts w:eastAsia="Arial Unicode MS" w:cs="Arial Unicode MS"/>
          <w:szCs w:val="20"/>
          <w:lang w:eastAsia="cs-CZ"/>
        </w:rPr>
        <w:t>pondělí/pátek</w:t>
      </w:r>
      <w:r w:rsidRPr="002E7C1E">
        <w:rPr>
          <w:rFonts w:eastAsia="Arial Unicode MS" w:cs="Arial Unicode MS"/>
          <w:szCs w:val="20"/>
          <w:lang w:eastAsia="cs-CZ"/>
        </w:rPr>
        <w:tab/>
        <w:t>9:00 – 15:00 hod</w:t>
      </w:r>
    </w:p>
    <w:p w:rsidR="002E7C1E" w:rsidRDefault="002E7C1E" w:rsidP="00210895">
      <w:pPr>
        <w:keepNext/>
        <w:tabs>
          <w:tab w:val="num" w:pos="0"/>
        </w:tabs>
        <w:spacing w:after="0"/>
        <w:outlineLvl w:val="0"/>
      </w:pPr>
    </w:p>
    <w:p w:rsidR="002E7C1E" w:rsidRDefault="002E7C1E" w:rsidP="00210895">
      <w:pPr>
        <w:pStyle w:val="MainText"/>
      </w:pPr>
      <w:r>
        <w:t xml:space="preserve">Předběžné nabídky </w:t>
      </w:r>
      <w:r w:rsidRPr="003B190C">
        <w:t xml:space="preserve">doručené po uplynutí lhůty pro podání, komise neotevírá, nepovažuje se z hlediska zákona za podanou a v průběhu zadávacího řízení se k ní nepřihlíží. Zadavatel o této skutečnosti bezodkladně vyrozumí účastníka zadávacího řízení. </w:t>
      </w:r>
      <w:r>
        <w:t xml:space="preserve">Předběžnou nabídku </w:t>
      </w:r>
      <w:r w:rsidRPr="003B190C">
        <w:t>podanou po uplynutí lhůty pro podání nabídek zadavatele nevrací.</w:t>
      </w:r>
    </w:p>
    <w:p w:rsidR="002E7C1E" w:rsidRPr="0009665D" w:rsidRDefault="002E7C1E" w:rsidP="00210895">
      <w:pPr>
        <w:pStyle w:val="MainText"/>
        <w:rPr>
          <w:b/>
        </w:rPr>
      </w:pPr>
      <w:r w:rsidRPr="00BF4E6A">
        <w:t xml:space="preserve">Zadavatel si </w:t>
      </w:r>
      <w:r w:rsidRPr="0009665D">
        <w:t>vyhrazuje právo</w:t>
      </w:r>
      <w:r w:rsidRPr="00BF4E6A">
        <w:t xml:space="preserve">, že nemusí o předběžných nabídkách jednat a může zadat veřejnou zakázku na základě předběžné nabídky. </w:t>
      </w:r>
      <w:r w:rsidRPr="0009665D">
        <w:rPr>
          <w:b/>
        </w:rPr>
        <w:t>V takovém případě bude zadavatel postupovat dle §108-§110 ZZVZ</w:t>
      </w:r>
    </w:p>
    <w:p w:rsidR="00F32E96" w:rsidRDefault="00F32E96"/>
    <w:p w:rsidR="002E7C1E" w:rsidRPr="0009665D" w:rsidRDefault="002E7C1E" w:rsidP="002E7C1E">
      <w:pPr>
        <w:pStyle w:val="Nadpis1"/>
        <w:keepLines/>
        <w:tabs>
          <w:tab w:val="clear" w:pos="432"/>
        </w:tabs>
        <w:spacing w:before="240"/>
        <w:rPr>
          <w:b w:val="0"/>
          <w:bCs w:val="0"/>
          <w:caps w:val="0"/>
        </w:rPr>
      </w:pPr>
      <w:bookmarkStart w:id="7" w:name="_Toc493538165"/>
      <w:r w:rsidRPr="0009665D">
        <w:t>Způsob a podání předběžných nabídek</w:t>
      </w:r>
      <w:bookmarkEnd w:id="7"/>
      <w:r w:rsidRPr="0009665D">
        <w:t xml:space="preserve"> </w:t>
      </w:r>
    </w:p>
    <w:p w:rsidR="002E7C1E" w:rsidRDefault="002E7C1E" w:rsidP="002E7C1E">
      <w:pPr>
        <w:pStyle w:val="MainText"/>
      </w:pPr>
      <w:r>
        <w:t>Předběžná nabídka</w:t>
      </w:r>
      <w:r w:rsidRPr="00905745">
        <w:t xml:space="preserve"> </w:t>
      </w:r>
      <w:r>
        <w:t>m</w:t>
      </w:r>
      <w:r w:rsidRPr="00905745">
        <w:t>usí být zpracována ve všech částech v českém jazyce (výjimku tvoří odborné názvy a údaje).</w:t>
      </w:r>
      <w:r>
        <w:t xml:space="preserve"> Předběžné nabídky uchazečů budou </w:t>
      </w:r>
      <w:r>
        <w:lastRenderedPageBreak/>
        <w:t>strukturovány jednotně a zřetelně. Předběžná nabídka bude zpracována a řazena do jednotlivých oddílů v následujícím členění:</w:t>
      </w:r>
    </w:p>
    <w:p w:rsidR="002E7C1E" w:rsidRDefault="002E7C1E" w:rsidP="002E7C1E">
      <w:pPr>
        <w:pStyle w:val="Mai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1"/>
        <w:gridCol w:w="6071"/>
      </w:tblGrid>
      <w:tr w:rsidR="002E7C1E" w:rsidTr="00803543">
        <w:tc>
          <w:tcPr>
            <w:tcW w:w="0" w:type="auto"/>
          </w:tcPr>
          <w:p w:rsidR="002E7C1E" w:rsidRDefault="002E7C1E" w:rsidP="00803543">
            <w:pPr>
              <w:pStyle w:val="MainText"/>
              <w:jc w:val="left"/>
            </w:pPr>
            <w:r w:rsidRPr="00847493">
              <w:rPr>
                <w:b/>
              </w:rPr>
              <w:t xml:space="preserve">Obsah </w:t>
            </w:r>
            <w:r>
              <w:rPr>
                <w:b/>
              </w:rPr>
              <w:t xml:space="preserve">předběžné </w:t>
            </w:r>
            <w:r w:rsidRPr="00847493">
              <w:rPr>
                <w:b/>
              </w:rPr>
              <w:t>nabídky, očíslovaný</w:t>
            </w:r>
          </w:p>
        </w:tc>
        <w:tc>
          <w:tcPr>
            <w:tcW w:w="0" w:type="auto"/>
          </w:tcPr>
          <w:p w:rsidR="002E7C1E" w:rsidRDefault="002E7C1E" w:rsidP="00803543">
            <w:pPr>
              <w:pStyle w:val="MainText"/>
            </w:pPr>
          </w:p>
        </w:tc>
      </w:tr>
      <w:tr w:rsidR="002E7C1E" w:rsidTr="00803543">
        <w:tc>
          <w:tcPr>
            <w:tcW w:w="0" w:type="auto"/>
          </w:tcPr>
          <w:p w:rsidR="002E7C1E" w:rsidRDefault="002E7C1E" w:rsidP="00803543">
            <w:pPr>
              <w:pStyle w:val="MainText"/>
              <w:jc w:val="left"/>
            </w:pPr>
            <w:r w:rsidRPr="00847493">
              <w:rPr>
                <w:b/>
              </w:rPr>
              <w:t xml:space="preserve">Krycí list </w:t>
            </w:r>
            <w:r>
              <w:rPr>
                <w:b/>
              </w:rPr>
              <w:t>předběžné</w:t>
            </w:r>
            <w:r w:rsidRPr="00847493">
              <w:rPr>
                <w:b/>
              </w:rPr>
              <w:t xml:space="preserve"> nabídky</w:t>
            </w:r>
          </w:p>
        </w:tc>
        <w:tc>
          <w:tcPr>
            <w:tcW w:w="0" w:type="auto"/>
          </w:tcPr>
          <w:p w:rsidR="002E7C1E" w:rsidRDefault="002E7C1E" w:rsidP="00803543">
            <w:pPr>
              <w:pStyle w:val="MainText"/>
            </w:pPr>
            <w:r>
              <w:t xml:space="preserve">Krycí list </w:t>
            </w:r>
            <w:r w:rsidRPr="00E01315">
              <w:t xml:space="preserve">předběžné </w:t>
            </w:r>
            <w:r>
              <w:t xml:space="preserve">nabídky, pro který je v Podkladech k zadávací dokumentaci přichystán jednotný formulář – Krycí list </w:t>
            </w:r>
            <w:r w:rsidRPr="00E01315">
              <w:t>předběžné</w:t>
            </w:r>
            <w:r>
              <w:t xml:space="preserve"> nabídky – je povinnou </w:t>
            </w:r>
            <w:proofErr w:type="gramStart"/>
            <w:r>
              <w:t xml:space="preserve">součástí  </w:t>
            </w:r>
            <w:r w:rsidRPr="00E01315">
              <w:t>předběžné</w:t>
            </w:r>
            <w:proofErr w:type="gramEnd"/>
            <w:r>
              <w:t xml:space="preserve"> nabídky. Bude vyplněn uchazečem a podepsán statutárním zástupcem uchazeče. Formulář obsahuje souhrn nejdůležitějších </w:t>
            </w:r>
            <w:proofErr w:type="gramStart"/>
            <w:r>
              <w:t xml:space="preserve">parametrů  </w:t>
            </w:r>
            <w:r w:rsidRPr="00E01315">
              <w:t>předběžné</w:t>
            </w:r>
            <w:proofErr w:type="gramEnd"/>
            <w:r>
              <w:t xml:space="preserve"> nabídky, závazných pro předběžné hodnocení  </w:t>
            </w:r>
            <w:r w:rsidRPr="00E01315">
              <w:t>předběžné</w:t>
            </w:r>
            <w:r>
              <w:t xml:space="preserve"> nabídky:</w:t>
            </w:r>
          </w:p>
          <w:p w:rsidR="002E7C1E" w:rsidRDefault="002E7C1E" w:rsidP="00803543">
            <w:pPr>
              <w:pStyle w:val="MainText"/>
            </w:pPr>
          </w:p>
        </w:tc>
      </w:tr>
      <w:tr w:rsidR="002E7C1E" w:rsidTr="00803543">
        <w:tc>
          <w:tcPr>
            <w:tcW w:w="0" w:type="auto"/>
          </w:tcPr>
          <w:p w:rsidR="002E7C1E" w:rsidRDefault="002E7C1E" w:rsidP="00803543">
            <w:pPr>
              <w:pStyle w:val="MainText"/>
              <w:jc w:val="left"/>
            </w:pPr>
            <w:r w:rsidRPr="00847493">
              <w:rPr>
                <w:b/>
              </w:rPr>
              <w:t>Technicko-ekonomické údaje řešení zakázky</w:t>
            </w:r>
          </w:p>
        </w:tc>
        <w:tc>
          <w:tcPr>
            <w:tcW w:w="0" w:type="auto"/>
          </w:tcPr>
          <w:p w:rsidR="002E7C1E" w:rsidRDefault="002E7C1E" w:rsidP="00803543">
            <w:pPr>
              <w:pStyle w:val="MainText"/>
            </w:pPr>
            <w:r>
              <w:t>Nabídka uchazeče bude zpracována formou příloh ke smlouvě o dílo, jejichž popis je přílohou zadávací dokumentace.</w:t>
            </w:r>
          </w:p>
          <w:p w:rsidR="002E7C1E" w:rsidRDefault="002E7C1E" w:rsidP="00803543">
            <w:pPr>
              <w:pStyle w:val="MainText"/>
            </w:pPr>
            <w:r>
              <w:t xml:space="preserve">Uchazeč uvede </w:t>
            </w:r>
            <w:r w:rsidRPr="00654325">
              <w:rPr>
                <w:b/>
              </w:rPr>
              <w:t>podrobné technické a ekonomické informace nutné pro posouzení ekonomické výhodnosti nabídek.</w:t>
            </w:r>
            <w:r>
              <w:t xml:space="preserve"> Uchazečům bude umožněno prohlédnout si objekty, zařazené do této výzvy, ověřit si údaje uvedené v zadávací dokumentaci a získat doplňující informace k místu plnění.</w:t>
            </w:r>
          </w:p>
          <w:p w:rsidR="000A0D36" w:rsidRDefault="002E7C1E" w:rsidP="00803543">
            <w:pPr>
              <w:pStyle w:val="MainText"/>
            </w:pPr>
            <w:r>
              <w:t xml:space="preserve">Uchazeč si pro získání přehledu o možnostech dosažení úspor provozních nákladů ve smluvních objektech na vlastní zodpovědnost provede, na základě získaných údajů, vlastní analýzu. Na jejím základě uchazeč v nabídce přijme konkrétní závazky a potvrdí, že bere v úvahu zjištěná technická a komerční rizika. </w:t>
            </w:r>
          </w:p>
          <w:p w:rsidR="000A0D36" w:rsidRDefault="000A0D36" w:rsidP="00803543">
            <w:pPr>
              <w:pStyle w:val="MainText"/>
            </w:pPr>
            <w:r>
              <w:t xml:space="preserve">Bližší podmínky pro zpracování nabídek jsou uvedeny v příloze Výzvy k podání předběžných nabídek. </w:t>
            </w:r>
          </w:p>
          <w:p w:rsidR="002E7C1E" w:rsidRDefault="002E7C1E" w:rsidP="00803543">
            <w:pPr>
              <w:pStyle w:val="MainText"/>
            </w:pPr>
          </w:p>
        </w:tc>
      </w:tr>
      <w:tr w:rsidR="002E7C1E" w:rsidTr="00803543">
        <w:tc>
          <w:tcPr>
            <w:tcW w:w="0" w:type="auto"/>
          </w:tcPr>
          <w:p w:rsidR="002E7C1E" w:rsidRDefault="002E7C1E" w:rsidP="00803543">
            <w:pPr>
              <w:pStyle w:val="MainText"/>
            </w:pPr>
            <w:r w:rsidRPr="00F64188">
              <w:rPr>
                <w:b/>
              </w:rPr>
              <w:t>Návrh smlouvy o poskytování energetických služeb se zaručeným výsledkem</w:t>
            </w:r>
          </w:p>
        </w:tc>
        <w:tc>
          <w:tcPr>
            <w:tcW w:w="0" w:type="auto"/>
          </w:tcPr>
          <w:p w:rsidR="002E7C1E" w:rsidRDefault="002E7C1E" w:rsidP="00803543">
            <w:pPr>
              <w:pStyle w:val="MainText"/>
            </w:pPr>
            <w:r w:rsidRPr="0067768F">
              <w:t>V této části předloží uchazeči návrh smlouvy.</w:t>
            </w:r>
            <w:r>
              <w:t xml:space="preserve"> Návrh smlouvy bude zpracován v souladu s legislativními podmínkami platnými ke dni podání nabídky, bude podepsán statutárním zástupcem společnosti a opatřen razítkem a označením „Návrh“. </w:t>
            </w:r>
          </w:p>
          <w:p w:rsidR="002E7C1E" w:rsidRDefault="002E7C1E" w:rsidP="00803543">
            <w:pPr>
              <w:pStyle w:val="MainText"/>
            </w:pPr>
            <w:r>
              <w:t>Uchazeč závazně použije návrh smlouvy, který je přílohou č. 2 této zadávací dokumentace. Veškeré změny a doplnění provedená v této smlouvě budou vyznačena revizemi.</w:t>
            </w:r>
          </w:p>
          <w:p w:rsidR="002E7C1E" w:rsidRDefault="002E7C1E" w:rsidP="00803543">
            <w:pPr>
              <w:pStyle w:val="MainText"/>
            </w:pPr>
            <w:r>
              <w:t xml:space="preserve">Navrhovaná smlouva musí být v naprostém souladu s údaji, uvedenými v nabídce uchazeče a musí </w:t>
            </w:r>
            <w:r>
              <w:lastRenderedPageBreak/>
              <w:t xml:space="preserve">obsahovat nabídkovou cenu a termíny plnění, garance dosažení hodnot uvedených v nabídce. </w:t>
            </w:r>
          </w:p>
          <w:p w:rsidR="002E7C1E" w:rsidRDefault="002E7C1E" w:rsidP="00803543">
            <w:pPr>
              <w:pStyle w:val="MainText"/>
            </w:pPr>
            <w:r>
              <w:t xml:space="preserve">Doba trvání smlouvy bude navržena uchazečem s tím, že doba splácení navrhovaných opatření (od data jejich převzetí zadavatelem) nepřesáhne dobu </w:t>
            </w:r>
            <w:r w:rsidRPr="00764AC1">
              <w:t>10 let.</w:t>
            </w:r>
          </w:p>
        </w:tc>
      </w:tr>
    </w:tbl>
    <w:p w:rsidR="00E84957" w:rsidRDefault="00E84957" w:rsidP="00210895"/>
    <w:p w:rsidR="002E7C1E" w:rsidRDefault="002E7C1E" w:rsidP="00210895">
      <w:r>
        <w:t>Předběžná nabídka bude předložena v jednom originále a jedné kopii, strany předběžná nabídky budou očíslovány a seřazeny vzestupně. Originál předběžné nabídky bude na titulní stránce v pravém horním rohu označen „ORIGINÁL“ a kopie bude obsahovat na titulní straně v pravém horním rohu označení „KOPIE“. Originál i kopie budou předloženy v jedné obálce. Předběžná nabídka bude současně předána jedenkrát v elektronické podobě na CD ROM /DVD ROM.</w:t>
      </w:r>
    </w:p>
    <w:p w:rsidR="002E7C1E" w:rsidRDefault="002E7C1E" w:rsidP="00210895">
      <w:r>
        <w:t>Originál předběžné nabídky bude zabezpečen proti manipulaci s listy předběžné nabídky a opatřen podpisy uchazeče tak, aby bylo zabráněno neoprávněné manipulaci.</w:t>
      </w:r>
    </w:p>
    <w:p w:rsidR="002E7C1E" w:rsidRDefault="002E7C1E" w:rsidP="00210895">
      <w:r>
        <w:t xml:space="preserve">Předběžné nabídky budou předloženy </w:t>
      </w:r>
      <w:r w:rsidR="00D87BA6">
        <w:t>v listinné podobě</w:t>
      </w:r>
      <w:r>
        <w:t xml:space="preserve"> v uzavřené obálce, opatřené razítkem uchazeče a podpisem na přelepu, s nadpisem </w:t>
      </w:r>
    </w:p>
    <w:p w:rsidR="002E7C1E" w:rsidRDefault="002E7C1E" w:rsidP="002E7C1E">
      <w:pPr>
        <w:pStyle w:val="MainText"/>
      </w:pPr>
    </w:p>
    <w:p w:rsidR="002E7C1E" w:rsidRPr="00A736AF" w:rsidRDefault="002E7C1E" w:rsidP="002E7C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560" w:right="1843"/>
        <w:jc w:val="center"/>
        <w:rPr>
          <w:rFonts w:ascii="Calibri" w:hAnsi="Calibri"/>
          <w:b/>
        </w:rPr>
      </w:pPr>
      <w:r w:rsidRPr="00A736AF">
        <w:rPr>
          <w:rFonts w:ascii="Calibri" w:hAnsi="Calibri"/>
          <w:b/>
        </w:rPr>
        <w:t>„</w:t>
      </w:r>
      <w:r w:rsidRPr="002E7C1E">
        <w:rPr>
          <w:rFonts w:ascii="Calibri" w:hAnsi="Calibri"/>
          <w:b/>
        </w:rPr>
        <w:t xml:space="preserve">Poskytovaní energetických služeb metodou EPC ve vybraných objektech města Karlovy </w:t>
      </w:r>
      <w:proofErr w:type="gramStart"/>
      <w:r w:rsidRPr="002E7C1E">
        <w:rPr>
          <w:rFonts w:ascii="Calibri" w:hAnsi="Calibri"/>
          <w:b/>
        </w:rPr>
        <w:t>Vary  –</w:t>
      </w:r>
      <w:proofErr w:type="gramEnd"/>
      <w:r w:rsidRPr="002E7C1E">
        <w:rPr>
          <w:rFonts w:ascii="Calibri" w:hAnsi="Calibri"/>
          <w:b/>
        </w:rPr>
        <w:t xml:space="preserve"> Nabídka – NEOTEVÍRAT</w:t>
      </w:r>
      <w:r w:rsidRPr="00A736AF">
        <w:rPr>
          <w:rFonts w:ascii="Calibri" w:hAnsi="Calibri"/>
          <w:b/>
        </w:rPr>
        <w:t>!“</w:t>
      </w:r>
    </w:p>
    <w:p w:rsidR="002E7C1E" w:rsidRDefault="002E7C1E"/>
    <w:p w:rsidR="002E7C1E" w:rsidRDefault="002E7C1E" w:rsidP="002E7C1E">
      <w:pPr>
        <w:pStyle w:val="Nadpis1"/>
        <w:tabs>
          <w:tab w:val="clear" w:pos="432"/>
        </w:tabs>
        <w:ind w:left="720" w:hanging="720"/>
      </w:pPr>
      <w:bookmarkStart w:id="8" w:name="_Toc497735288"/>
      <w:r>
        <w:t>Hodnotící kritéria</w:t>
      </w:r>
      <w:bookmarkEnd w:id="8"/>
      <w:r>
        <w:t xml:space="preserve"> </w:t>
      </w:r>
    </w:p>
    <w:p w:rsidR="002E7C1E" w:rsidRPr="00631ECC" w:rsidRDefault="002E7C1E" w:rsidP="002E7C1E">
      <w:pPr>
        <w:pStyle w:val="MainText"/>
      </w:pPr>
      <w:r>
        <w:t>Nabídky budou posuzovány na základě těchto kritérií:</w:t>
      </w:r>
    </w:p>
    <w:p w:rsidR="002E7C1E" w:rsidRPr="004B041F" w:rsidRDefault="002E7C1E" w:rsidP="002E7C1E">
      <w:pPr>
        <w:pStyle w:val="Nadpis2"/>
      </w:pPr>
      <w:bookmarkStart w:id="9" w:name="_Toc497735289"/>
      <w:r w:rsidRPr="004B041F">
        <w:t>Roční výše zaručených úspor paliv a energie</w:t>
      </w:r>
      <w:r>
        <w:t xml:space="preserve"> (v Kč </w:t>
      </w:r>
      <w:r w:rsidRPr="007340EF">
        <w:t xml:space="preserve">roku </w:t>
      </w:r>
      <w:r w:rsidRPr="00764AC1">
        <w:t>201</w:t>
      </w:r>
      <w:r w:rsidRPr="00D25F89">
        <w:t>7</w:t>
      </w:r>
      <w:r>
        <w:t>)</w:t>
      </w:r>
      <w:bookmarkEnd w:id="9"/>
    </w:p>
    <w:p w:rsidR="002E7C1E" w:rsidRDefault="002E7C1E" w:rsidP="00210895">
      <w:r w:rsidRPr="003D2111">
        <w:t xml:space="preserve">Uchazeč uvede celkovou garantovanou (zaručenou) úsporu všech forem energie, která vznikne realizací v nabídce uchazeče specifikovaných základních opatření. Úspora bude vyjádřena jako roční úspora dosažená oproti referenčním hodnotám. Za referenční hodnotu spotřeby energie bude považován rok </w:t>
      </w:r>
      <w:r w:rsidRPr="00764AC1">
        <w:t>201</w:t>
      </w:r>
      <w:r w:rsidR="00D179FA">
        <w:t>7</w:t>
      </w:r>
      <w:r w:rsidRPr="003D2111">
        <w:t xml:space="preserve"> (skutečná spotřeba z faktur dodavatelů).</w:t>
      </w:r>
      <w:r>
        <w:t xml:space="preserve"> Úspora bude uvedena v technických jednotkách (voda v m</w:t>
      </w:r>
      <w:r w:rsidRPr="00B27582">
        <w:rPr>
          <w:vertAlign w:val="superscript"/>
        </w:rPr>
        <w:t>3</w:t>
      </w:r>
      <w:r>
        <w:t>, ostatní v GJ) a v Kč bez DPH.</w:t>
      </w:r>
    </w:p>
    <w:p w:rsidR="002E7C1E" w:rsidRPr="003D2111" w:rsidRDefault="002E7C1E" w:rsidP="002E7C1E">
      <w:pPr>
        <w:pStyle w:val="Nadpis2"/>
      </w:pPr>
      <w:bookmarkStart w:id="10" w:name="_Toc497735290"/>
      <w:r w:rsidRPr="003D2111">
        <w:t>Nabídková cena</w:t>
      </w:r>
      <w:r>
        <w:t xml:space="preserve"> (v Kč bez DPH)</w:t>
      </w:r>
      <w:bookmarkEnd w:id="10"/>
    </w:p>
    <w:p w:rsidR="002E7C1E" w:rsidRDefault="002E7C1E" w:rsidP="00210895">
      <w:pPr>
        <w:rPr>
          <w:highlight w:val="yellow"/>
        </w:rPr>
      </w:pPr>
      <w:r>
        <w:t>Nabídky uchazečů</w:t>
      </w:r>
      <w:r w:rsidRPr="003D2111">
        <w:t xml:space="preserve"> budou obsahovat cenovou nabídku. Cena bude stanovena jako součet finančních plnění uchazeče za dobu platnosti smlouvy a bude vypočtena jako součet ceny investice, ceny energetického managementu a ceny za finanční služby (dluhové služby) a výše finanční spoluúčasti zadavatele, pokud ji uchazeč ve své nabídce navrhuje. Cena nabídky bude strukturována bez DPH a včetně DPH. Rozhodnou výší při hodnocení nabídkové ceny je její výše bez DPH.</w:t>
      </w:r>
    </w:p>
    <w:p w:rsidR="002E7C1E" w:rsidRPr="003D2111" w:rsidRDefault="002E7C1E" w:rsidP="002E7C1E">
      <w:pPr>
        <w:pStyle w:val="Nadpis2"/>
      </w:pPr>
      <w:bookmarkStart w:id="11" w:name="_Toc497735291"/>
      <w:r w:rsidRPr="003D2111">
        <w:t xml:space="preserve">Podíl zadavatele na úspoře dosažené nad garantovanou úsporu </w:t>
      </w:r>
      <w:r>
        <w:t>(</w:t>
      </w:r>
      <w:r w:rsidRPr="003D2111">
        <w:t>v %</w:t>
      </w:r>
      <w:r>
        <w:t>)</w:t>
      </w:r>
      <w:bookmarkEnd w:id="11"/>
      <w:r w:rsidRPr="003D2111">
        <w:t xml:space="preserve">  </w:t>
      </w:r>
    </w:p>
    <w:p w:rsidR="00210895" w:rsidRDefault="00210895" w:rsidP="00210895"/>
    <w:p w:rsidR="002E7C1E" w:rsidRDefault="002E7C1E" w:rsidP="00210895">
      <w:pPr>
        <w:rPr>
          <w:highlight w:val="yellow"/>
        </w:rPr>
      </w:pPr>
      <w:r w:rsidRPr="003D2111">
        <w:t xml:space="preserve">Uchazeč stanoví jasná a pro něho závazná pravidla, která budou naplněna v případě, že dojde k překročení garantované úspory provozních nákladů. Tedy závazný postup, který bude použit v případě, že rozdíl mezi skutečně dosaženou </w:t>
      </w:r>
      <w:r w:rsidRPr="003D2111">
        <w:lastRenderedPageBreak/>
        <w:t>úsporou nákladů a garantovanou úsporou nákladů bude kladný. Uchazeč závazně uvede, v procentuálním vyjádření, výši podílu zadavatele při dělení tohoto kladného výsledku („</w:t>
      </w:r>
      <w:proofErr w:type="spellStart"/>
      <w:r w:rsidRPr="003D2111">
        <w:t>nadúspory</w:t>
      </w:r>
      <w:proofErr w:type="spellEnd"/>
      <w:r w:rsidRPr="003D2111">
        <w:t>“).</w:t>
      </w:r>
    </w:p>
    <w:p w:rsidR="002E7C1E" w:rsidRPr="003D2111" w:rsidRDefault="002E7C1E" w:rsidP="002E7C1E">
      <w:pPr>
        <w:pStyle w:val="Nadpis2"/>
      </w:pPr>
      <w:bookmarkStart w:id="12" w:name="_Toc497735292"/>
      <w:r w:rsidRPr="003D2111">
        <w:t>Výše hmotných investic (ve vazbě na jejich technickou kvalitu a užitnou hodnotu</w:t>
      </w:r>
      <w:r>
        <w:t xml:space="preserve"> v Kč</w:t>
      </w:r>
      <w:r w:rsidRPr="003D2111">
        <w:t>)</w:t>
      </w:r>
      <w:bookmarkEnd w:id="12"/>
    </w:p>
    <w:p w:rsidR="00210895" w:rsidRDefault="00210895" w:rsidP="00210895"/>
    <w:p w:rsidR="002E7C1E" w:rsidRDefault="002E7C1E" w:rsidP="00210895">
      <w:r>
        <w:t xml:space="preserve">Uchazeč v tomto kritériu uvede celkový objem hmotných investic jako součet vyvolaných investičních výdajů na realizaci navrhovaných úsporných opatření. Ceny za navržená řešení může přezkoumat znalec. Bude posouzena proveditelnost a úplnost navrhovaných opatření ve vztahu k charakteru a stavu objektu a podrobnostech jeho využití. Objem investic bude vyhodnocen ve vztahu k očekávaným dosaženým úsporám po jednotlivých objektech. Objem investic bude uveden bez DPH a včetně DPH. </w:t>
      </w:r>
    </w:p>
    <w:p w:rsidR="002E7C1E" w:rsidRPr="00A73BC1" w:rsidRDefault="002E7C1E" w:rsidP="00210895">
      <w:r w:rsidRPr="00A73BC1">
        <w:t>Kvalita technického návrhu bude posuzována dle položkového rozpočtu, kde budou detailně uvedeny technické parametry pořizovaných technologií, strojů, přístrojů a zařízení.</w:t>
      </w:r>
    </w:p>
    <w:p w:rsidR="002E7C1E" w:rsidRDefault="002E7C1E" w:rsidP="002E7C1E">
      <w:pPr>
        <w:pStyle w:val="Nadpis3"/>
        <w:tabs>
          <w:tab w:val="clear" w:pos="360"/>
          <w:tab w:val="num" w:pos="1701"/>
        </w:tabs>
        <w:ind w:left="709" w:hanging="709"/>
        <w:jc w:val="left"/>
      </w:pPr>
      <w:r>
        <w:t xml:space="preserve"> </w:t>
      </w:r>
      <w:bookmarkStart w:id="13" w:name="_Toc497735293"/>
      <w:r>
        <w:t>Způsob hodnocení nabídek na základě váhy jednotlivých kritérií</w:t>
      </w:r>
      <w:bookmarkEnd w:id="13"/>
    </w:p>
    <w:p w:rsidR="002E7C1E" w:rsidRDefault="002E7C1E" w:rsidP="002E7C1E">
      <w:pPr>
        <w:pStyle w:val="MainText"/>
      </w:pPr>
      <w:r>
        <w:t xml:space="preserve">Výběr a hodnocení nabídek </w:t>
      </w:r>
      <w:r w:rsidRPr="00631ECC">
        <w:t xml:space="preserve">podaných </w:t>
      </w:r>
      <w:r>
        <w:t>uchazeči</w:t>
      </w:r>
      <w:r w:rsidRPr="00631ECC">
        <w:t xml:space="preserve"> o tuto veřejnou zakázku bude provedeno dle jejich </w:t>
      </w:r>
      <w:r w:rsidRPr="00DB7AED">
        <w:rPr>
          <w:b/>
        </w:rPr>
        <w:t xml:space="preserve">celkové ekonomické výhodnosti </w:t>
      </w:r>
      <w:r>
        <w:t>pro zadavatele na základě výše popsaných kritérií takto</w:t>
      </w:r>
      <w:r w:rsidRPr="00631ECC">
        <w:t>:</w:t>
      </w:r>
    </w:p>
    <w:p w:rsidR="002E7C1E" w:rsidRDefault="002E7C1E" w:rsidP="002E7C1E">
      <w:pPr>
        <w:pStyle w:val="TableHeading"/>
        <w:tabs>
          <w:tab w:val="clear" w:pos="1800"/>
        </w:tabs>
      </w:pPr>
      <w:r>
        <w:t>Kritéria pro výběr ekonomicky nejvýhodnější nabídky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237"/>
        <w:gridCol w:w="1985"/>
      </w:tblGrid>
      <w:tr w:rsidR="002E7C1E" w:rsidRPr="00CC01F3" w:rsidTr="00803543">
        <w:trPr>
          <w:jc w:val="center"/>
        </w:trPr>
        <w:tc>
          <w:tcPr>
            <w:tcW w:w="56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sz w:val="18"/>
              </w:rPr>
            </w:pPr>
          </w:p>
        </w:tc>
        <w:tc>
          <w:tcPr>
            <w:tcW w:w="623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Kritérium</w:t>
            </w:r>
          </w:p>
        </w:tc>
        <w:tc>
          <w:tcPr>
            <w:tcW w:w="1985" w:type="dxa"/>
          </w:tcPr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Váha v %</w:t>
            </w:r>
          </w:p>
        </w:tc>
      </w:tr>
      <w:tr w:rsidR="002E7C1E" w:rsidRPr="00CC01F3" w:rsidTr="00803543">
        <w:trPr>
          <w:jc w:val="center"/>
        </w:trPr>
        <w:tc>
          <w:tcPr>
            <w:tcW w:w="56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1</w:t>
            </w:r>
          </w:p>
        </w:tc>
        <w:tc>
          <w:tcPr>
            <w:tcW w:w="623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Roční výše zaručených úspor paliv a energie</w:t>
            </w:r>
          </w:p>
          <w:p w:rsidR="002E7C1E" w:rsidRPr="00E9389F" w:rsidRDefault="002E7C1E" w:rsidP="00803543">
            <w:pPr>
              <w:pStyle w:val="MainText"/>
              <w:spacing w:before="60" w:after="60"/>
              <w:rPr>
                <w:sz w:val="18"/>
              </w:rPr>
            </w:pPr>
            <w:r w:rsidRPr="00E9389F">
              <w:rPr>
                <w:sz w:val="18"/>
              </w:rPr>
              <w:t xml:space="preserve">Hodnocení bude provedeno ve prospěch nejvyšších dosažených úspor (v Kč) </w:t>
            </w:r>
          </w:p>
        </w:tc>
        <w:tc>
          <w:tcPr>
            <w:tcW w:w="1985" w:type="dxa"/>
            <w:vAlign w:val="center"/>
          </w:tcPr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sz w:val="18"/>
              </w:rPr>
            </w:pPr>
            <w:r w:rsidRPr="00E9389F">
              <w:rPr>
                <w:sz w:val="18"/>
              </w:rPr>
              <w:t>50</w:t>
            </w:r>
          </w:p>
        </w:tc>
      </w:tr>
      <w:tr w:rsidR="002E7C1E" w:rsidRPr="00CC01F3" w:rsidTr="00803543">
        <w:trPr>
          <w:jc w:val="center"/>
        </w:trPr>
        <w:tc>
          <w:tcPr>
            <w:tcW w:w="56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2</w:t>
            </w:r>
          </w:p>
        </w:tc>
        <w:tc>
          <w:tcPr>
            <w:tcW w:w="623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Nabídková cena (v Kč bez DPH)</w:t>
            </w:r>
          </w:p>
          <w:p w:rsidR="002E7C1E" w:rsidRPr="00E9389F" w:rsidRDefault="002E7C1E" w:rsidP="00803543">
            <w:pPr>
              <w:pStyle w:val="MainText"/>
              <w:spacing w:before="60" w:after="60"/>
              <w:rPr>
                <w:sz w:val="18"/>
              </w:rPr>
            </w:pPr>
            <w:r w:rsidRPr="00E9389F">
              <w:rPr>
                <w:sz w:val="18"/>
              </w:rPr>
              <w:t xml:space="preserve">Hodnocení bude provedeno ve prospěch nejnižší nabídkové ceny </w:t>
            </w:r>
          </w:p>
        </w:tc>
        <w:tc>
          <w:tcPr>
            <w:tcW w:w="1985" w:type="dxa"/>
            <w:vAlign w:val="center"/>
          </w:tcPr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Pr="00E9389F">
              <w:rPr>
                <w:sz w:val="18"/>
              </w:rPr>
              <w:t>0</w:t>
            </w:r>
          </w:p>
        </w:tc>
      </w:tr>
      <w:tr w:rsidR="002E7C1E" w:rsidRPr="00CC01F3" w:rsidTr="00803543">
        <w:trPr>
          <w:jc w:val="center"/>
        </w:trPr>
        <w:tc>
          <w:tcPr>
            <w:tcW w:w="56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3</w:t>
            </w:r>
          </w:p>
        </w:tc>
        <w:tc>
          <w:tcPr>
            <w:tcW w:w="623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 xml:space="preserve">Podíl zadavatele na </w:t>
            </w:r>
            <w:proofErr w:type="spellStart"/>
            <w:r w:rsidRPr="00E9389F">
              <w:rPr>
                <w:b/>
                <w:sz w:val="18"/>
              </w:rPr>
              <w:t>nadúspoře</w:t>
            </w:r>
            <w:proofErr w:type="spellEnd"/>
            <w:r w:rsidRPr="00E9389F">
              <w:rPr>
                <w:b/>
                <w:sz w:val="18"/>
              </w:rPr>
              <w:t xml:space="preserve"> (v %)</w:t>
            </w:r>
          </w:p>
          <w:p w:rsidR="002E7C1E" w:rsidRPr="00E9389F" w:rsidRDefault="002E7C1E" w:rsidP="00803543">
            <w:pPr>
              <w:pStyle w:val="MainText"/>
              <w:spacing w:before="60" w:after="60"/>
              <w:rPr>
                <w:sz w:val="18"/>
              </w:rPr>
            </w:pPr>
            <w:r w:rsidRPr="00E9389F">
              <w:rPr>
                <w:sz w:val="18"/>
              </w:rPr>
              <w:t>Hodnocení bude ve prospěch nejvyššího podílu zadavatele na dosažené úspoře nad garantovanou úsporu nákladů.</w:t>
            </w:r>
          </w:p>
        </w:tc>
        <w:tc>
          <w:tcPr>
            <w:tcW w:w="1985" w:type="dxa"/>
            <w:vAlign w:val="center"/>
          </w:tcPr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sz w:val="18"/>
              </w:rPr>
            </w:pPr>
            <w:r w:rsidRPr="00E9389F">
              <w:rPr>
                <w:sz w:val="18"/>
              </w:rPr>
              <w:t>10</w:t>
            </w:r>
          </w:p>
        </w:tc>
      </w:tr>
      <w:tr w:rsidR="002E7C1E" w:rsidRPr="00CC01F3" w:rsidTr="00803543">
        <w:trPr>
          <w:jc w:val="center"/>
        </w:trPr>
        <w:tc>
          <w:tcPr>
            <w:tcW w:w="56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4</w:t>
            </w:r>
          </w:p>
        </w:tc>
        <w:tc>
          <w:tcPr>
            <w:tcW w:w="6237" w:type="dxa"/>
          </w:tcPr>
          <w:p w:rsidR="002E7C1E" w:rsidRPr="00E9389F" w:rsidRDefault="002E7C1E" w:rsidP="00803543">
            <w:pPr>
              <w:pStyle w:val="MainText"/>
              <w:spacing w:before="60" w:after="60"/>
              <w:rPr>
                <w:b/>
                <w:sz w:val="18"/>
              </w:rPr>
            </w:pPr>
            <w:r w:rsidRPr="00E9389F">
              <w:rPr>
                <w:b/>
                <w:sz w:val="18"/>
              </w:rPr>
              <w:t>Výše hmotných investic (v Kč bez DPH)</w:t>
            </w:r>
          </w:p>
          <w:p w:rsidR="002E7C1E" w:rsidRPr="00E9389F" w:rsidRDefault="002E7C1E" w:rsidP="00803543">
            <w:pPr>
              <w:pStyle w:val="MainText"/>
              <w:spacing w:before="60" w:after="60"/>
              <w:rPr>
                <w:rFonts w:cs="Arial"/>
                <w:sz w:val="18"/>
              </w:rPr>
            </w:pPr>
            <w:r w:rsidRPr="00E9389F">
              <w:rPr>
                <w:rFonts w:cs="Arial"/>
                <w:sz w:val="18"/>
              </w:rPr>
              <w:t xml:space="preserve">ve vazbě na jejich technickou kvalitu a užitnou hodnotu </w:t>
            </w:r>
          </w:p>
          <w:p w:rsidR="002E7C1E" w:rsidRPr="00826A6F" w:rsidRDefault="002E7C1E" w:rsidP="002E7C1E">
            <w:pPr>
              <w:pStyle w:val="MainText"/>
              <w:numPr>
                <w:ilvl w:val="0"/>
                <w:numId w:val="3"/>
              </w:numPr>
              <w:spacing w:before="60" w:after="60"/>
              <w:rPr>
                <w:i/>
                <w:sz w:val="18"/>
              </w:rPr>
            </w:pPr>
            <w:r w:rsidRPr="00826A6F">
              <w:rPr>
                <w:rFonts w:cs="Arial"/>
                <w:i/>
                <w:sz w:val="18"/>
              </w:rPr>
              <w:t>Výše hmotných investic</w:t>
            </w:r>
          </w:p>
          <w:p w:rsidR="002E7C1E" w:rsidRPr="00E9389F" w:rsidRDefault="002E7C1E" w:rsidP="002E7C1E">
            <w:pPr>
              <w:pStyle w:val="MainText"/>
              <w:numPr>
                <w:ilvl w:val="0"/>
                <w:numId w:val="3"/>
              </w:numPr>
              <w:spacing w:before="60" w:after="60"/>
              <w:rPr>
                <w:sz w:val="18"/>
              </w:rPr>
            </w:pPr>
            <w:r w:rsidRPr="00826A6F">
              <w:rPr>
                <w:rFonts w:cs="Arial"/>
                <w:i/>
                <w:sz w:val="18"/>
              </w:rPr>
              <w:t>Kvalita technického návrhu</w:t>
            </w:r>
          </w:p>
        </w:tc>
        <w:tc>
          <w:tcPr>
            <w:tcW w:w="1985" w:type="dxa"/>
          </w:tcPr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E9389F">
              <w:rPr>
                <w:sz w:val="18"/>
              </w:rPr>
              <w:t>0</w:t>
            </w:r>
          </w:p>
          <w:p w:rsidR="002E7C1E" w:rsidRPr="00E9389F" w:rsidRDefault="002E7C1E" w:rsidP="00803543">
            <w:pPr>
              <w:pStyle w:val="MainText"/>
              <w:spacing w:before="60" w:after="60"/>
              <w:rPr>
                <w:sz w:val="18"/>
              </w:rPr>
            </w:pPr>
          </w:p>
          <w:p w:rsidR="002E7C1E" w:rsidRPr="00826A6F" w:rsidRDefault="002E7C1E" w:rsidP="00803543">
            <w:pPr>
              <w:pStyle w:val="MainText"/>
              <w:spacing w:before="60" w:after="60"/>
              <w:jc w:val="center"/>
              <w:rPr>
                <w:i/>
                <w:sz w:val="18"/>
              </w:rPr>
            </w:pPr>
            <w:r w:rsidRPr="00826A6F">
              <w:rPr>
                <w:i/>
                <w:sz w:val="18"/>
              </w:rPr>
              <w:t>7</w:t>
            </w:r>
          </w:p>
          <w:p w:rsidR="002E7C1E" w:rsidRPr="00E9389F" w:rsidRDefault="002E7C1E" w:rsidP="00803543">
            <w:pPr>
              <w:pStyle w:val="MainText"/>
              <w:spacing w:before="60" w:after="60"/>
              <w:jc w:val="center"/>
              <w:rPr>
                <w:sz w:val="18"/>
              </w:rPr>
            </w:pPr>
            <w:r w:rsidRPr="00826A6F">
              <w:rPr>
                <w:i/>
                <w:sz w:val="18"/>
              </w:rPr>
              <w:t>3</w:t>
            </w:r>
          </w:p>
        </w:tc>
      </w:tr>
    </w:tbl>
    <w:p w:rsidR="006D5FF6" w:rsidRDefault="006D5FF6" w:rsidP="00210895"/>
    <w:p w:rsidR="002E7C1E" w:rsidRPr="00DB7AED" w:rsidRDefault="002E7C1E" w:rsidP="00210895">
      <w:r w:rsidRPr="00DB7AED">
        <w:t xml:space="preserve">Pro hodnocení nabídek použije hodnotící komise bodovací stupnici v rozsahu 1 až 100. Každé jednotlivé nabídce je dle dílčího kritéria přidělena bodová hodnota, která odráží úspěšnost předmětné nabídky v rámci dílčího kritéria. Pro číselně vyjádřitelná kritéria, pro která má nejvhodnější nabídka maximální hodnotu kritéria (například výše garantovaných úspor) získá hodnocená nabídka bodovou hodnotu, která vznikne násobkem 100 a poměru hodnoty nabídky k hodnotě nejvhodnější nabídky. </w:t>
      </w:r>
    </w:p>
    <w:p w:rsidR="002E7C1E" w:rsidRPr="00DB7AED" w:rsidRDefault="002E7C1E" w:rsidP="00210895">
      <w:r w:rsidRPr="00DB7AED">
        <w:t xml:space="preserve">Pro číselně vyjádřitelná kritéria, pro která má nejvhodnější nabídka minimální hodnotu kritéria (například cena nabídky) získá hodnocená nabídka bodovou </w:t>
      </w:r>
      <w:r w:rsidRPr="00DB7AED">
        <w:lastRenderedPageBreak/>
        <w:t>hodnotu, která vznikne násobkem 100 a poměru hodnoty nejvhodnější nabídky k hodnocené nabídce.</w:t>
      </w:r>
    </w:p>
    <w:p w:rsidR="002E7C1E" w:rsidRPr="00DB7AED" w:rsidRDefault="002E7C1E" w:rsidP="00210895">
      <w:r w:rsidRPr="00DB7AED">
        <w:t>Jednotlivým dílčím kritériím jsou zadavatelem stanoveny váhy v procentech podle jejich důležitosti tak, že jejich součet je celkem 100.</w:t>
      </w:r>
    </w:p>
    <w:p w:rsidR="002E7C1E" w:rsidRDefault="002E7C1E" w:rsidP="00210895">
      <w:r w:rsidRPr="00DB7AED">
        <w:t>Hodnocení podle bodovací metody provede hodnotící komise tak, že jednotlivá bodová ohodnocení nabídek dle dílčích kritérií vynásobí příslušnou vahou daného kritéria. Na základě součtu výsledných hodnot u jednotlivých nabídek hodnotící komise stanoví pořadí úspěšnosti jednotlivých nabídek tak, že jako nejúspěšnější je stanovena nabídka, která dosáhla nejvyšší bodové hodnoty.</w:t>
      </w:r>
    </w:p>
    <w:p w:rsidR="002E7C1E" w:rsidRPr="00826A6F" w:rsidRDefault="002E7C1E" w:rsidP="002E7C1E">
      <w:pPr>
        <w:pStyle w:val="MainText"/>
        <w:rPr>
          <w:b/>
          <w:bCs/>
          <w:u w:val="single"/>
        </w:rPr>
      </w:pPr>
      <w:r w:rsidRPr="00826A6F">
        <w:rPr>
          <w:b/>
          <w:bCs/>
          <w:u w:val="single"/>
        </w:rPr>
        <w:t xml:space="preserve">Obecné vzorce pro výpočet bodových hodnot </w:t>
      </w:r>
    </w:p>
    <w:p w:rsidR="002E7C1E" w:rsidRDefault="002E7C1E" w:rsidP="002E7C1E">
      <w:pPr>
        <w:pStyle w:val="MainText"/>
      </w:pPr>
      <w:r w:rsidRPr="00DB7AED">
        <w:t>a) kritérium, pro které má nejvhodnější nabídka maximální hodnotu kritéria:</w:t>
      </w:r>
    </w:p>
    <w:p w:rsidR="002E7C1E" w:rsidRPr="00596BF5" w:rsidRDefault="002E7C1E" w:rsidP="002E7C1E">
      <w:pPr>
        <w:pStyle w:val="MainText"/>
      </w:pPr>
      <m:oMathPara>
        <m:oMath>
          <m:r>
            <w:rPr>
              <w:rFonts w:ascii="Cambria Math" w:eastAsia="Times New Roman" w:hAnsi="Cambria Math"/>
            </w:rPr>
            <m:t>Počet bodů kritéria=100*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Hodnota nabídky</m:t>
              </m:r>
            </m:num>
            <m:den>
              <m:r>
                <w:rPr>
                  <w:rFonts w:ascii="Cambria Math" w:eastAsia="Times New Roman" w:hAnsi="Cambria Math"/>
                </w:rPr>
                <m:t>Hodnota nejvhodnější nabídky</m:t>
              </m:r>
            </m:den>
          </m:f>
        </m:oMath>
      </m:oMathPara>
    </w:p>
    <w:p w:rsidR="002E7C1E" w:rsidRDefault="002E7C1E" w:rsidP="002E7C1E">
      <w:pPr>
        <w:pStyle w:val="MainText"/>
      </w:pPr>
      <w:r w:rsidRPr="00DB7AED">
        <w:t>b) kritérium, pro které má nejvhodnější nabídka minimální hodnotu kritéria (např. výše ceny)</w:t>
      </w:r>
      <w:r>
        <w:t>:</w:t>
      </w:r>
    </w:p>
    <w:p w:rsidR="002E7C1E" w:rsidRPr="00596BF5" w:rsidRDefault="002E7C1E" w:rsidP="002E7C1E">
      <w:pPr>
        <w:pStyle w:val="MainText"/>
      </w:pPr>
      <m:oMathPara>
        <m:oMath>
          <m:r>
            <w:rPr>
              <w:rFonts w:ascii="Cambria Math" w:eastAsia="Times New Roman" w:hAnsi="Cambria Math"/>
            </w:rPr>
            <m:t>Počet bodů kritéria=100*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Hodnota nejvhodnější nabídky</m:t>
              </m:r>
            </m:num>
            <m:den>
              <m:r>
                <w:rPr>
                  <w:rFonts w:ascii="Cambria Math" w:eastAsia="Times New Roman" w:hAnsi="Cambria Math"/>
                </w:rPr>
                <m:t>Hodnota nabídky</m:t>
              </m:r>
            </m:den>
          </m:f>
        </m:oMath>
      </m:oMathPara>
    </w:p>
    <w:p w:rsidR="002E7C1E" w:rsidRPr="00DB7AED" w:rsidRDefault="002E7C1E" w:rsidP="002E7C1E">
      <w:pPr>
        <w:pStyle w:val="MainText"/>
      </w:pPr>
      <w:r w:rsidRPr="00DB7AED">
        <w:t>c) celkové hodnocení = počet bodů získaných v rámci kritéria * váha kritéria v %.</w:t>
      </w:r>
    </w:p>
    <w:p w:rsidR="00210895" w:rsidRDefault="00210895" w:rsidP="00210895">
      <w:pPr>
        <w:rPr>
          <w:lang w:eastAsia="cs-CZ"/>
        </w:rPr>
      </w:pPr>
    </w:p>
    <w:p w:rsidR="002E7C1E" w:rsidRDefault="002E7C1E" w:rsidP="00210895">
      <w:pPr>
        <w:rPr>
          <w:lang w:eastAsia="cs-CZ"/>
        </w:rPr>
      </w:pPr>
      <w:r w:rsidRPr="00DB7AED">
        <w:rPr>
          <w:lang w:eastAsia="cs-CZ"/>
        </w:rPr>
        <w:t>Hodnocení nabídek provede komise ustavená zadavatelem a na základě jejího doporučení bude zadavatel rozhodovat o přidělení zakázky. Své rozhodnutí oznámí zadavatel písemně všem dodavatelům, kteří podali nabídku a jejichž nabídka byla hodnocena.</w:t>
      </w:r>
    </w:p>
    <w:p w:rsidR="002E7C1E" w:rsidRDefault="002E7C1E" w:rsidP="00210895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Kritérium</w:t>
      </w:r>
      <w:r w:rsidRPr="008B2BA1">
        <w:rPr>
          <w:rFonts w:eastAsia="Times New Roman"/>
          <w:lang w:eastAsia="cs-CZ"/>
        </w:rPr>
        <w:t xml:space="preserve"> </w:t>
      </w:r>
      <w:proofErr w:type="gramStart"/>
      <w:r w:rsidRPr="008B2BA1">
        <w:rPr>
          <w:rFonts w:eastAsia="Times New Roman"/>
          <w:lang w:eastAsia="cs-CZ"/>
        </w:rPr>
        <w:t>4b</w:t>
      </w:r>
      <w:proofErr w:type="gramEnd"/>
      <w:r w:rsidRPr="008B2BA1">
        <w:rPr>
          <w:rFonts w:eastAsia="Times New Roman"/>
          <w:lang w:eastAsia="cs-CZ"/>
        </w:rPr>
        <w:t xml:space="preserve">: </w:t>
      </w:r>
    </w:p>
    <w:p w:rsidR="002E7C1E" w:rsidRDefault="002E7C1E" w:rsidP="00210895">
      <w:pPr>
        <w:rPr>
          <w:rFonts w:eastAsia="Times New Roman"/>
          <w:lang w:eastAsia="cs-CZ"/>
        </w:rPr>
      </w:pPr>
      <w:r w:rsidRPr="003F6B8E">
        <w:rPr>
          <w:rFonts w:eastAsia="Times New Roman"/>
          <w:lang w:eastAsia="cs-CZ"/>
        </w:rPr>
        <w:t>Zadavatel preferuje technické řešení, které bude nejlépe uzpůsobeno podmínkám</w:t>
      </w:r>
      <w:r>
        <w:rPr>
          <w:rFonts w:eastAsia="Times New Roman"/>
          <w:lang w:eastAsia="cs-CZ"/>
        </w:rPr>
        <w:t xml:space="preserve"> provozu jednotlivých budov. </w:t>
      </w:r>
      <w:r w:rsidRPr="00D25F89">
        <w:rPr>
          <w:rFonts w:eastAsia="Times New Roman"/>
          <w:lang w:eastAsia="cs-CZ"/>
        </w:rPr>
        <w:t xml:space="preserve">Pro zadavatele je optimální takové řešení, které nejvíce zefektivní </w:t>
      </w:r>
      <w:r w:rsidR="00583450">
        <w:rPr>
          <w:rFonts w:eastAsia="Times New Roman"/>
          <w:lang w:eastAsia="cs-CZ"/>
        </w:rPr>
        <w:t>spotřebu energií</w:t>
      </w:r>
      <w:r w:rsidRPr="00D25F8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v objektech města Karlovy Vary</w:t>
      </w:r>
      <w:r w:rsidRPr="00D25F89">
        <w:rPr>
          <w:rFonts w:eastAsia="Times New Roman"/>
          <w:lang w:eastAsia="cs-CZ"/>
        </w:rPr>
        <w:t xml:space="preserve"> oproti současnému stavu.</w:t>
      </w:r>
      <w:r>
        <w:rPr>
          <w:rFonts w:eastAsia="Times New Roman"/>
          <w:lang w:eastAsia="cs-CZ"/>
        </w:rPr>
        <w:t xml:space="preserve"> Důležitým aspektem v rámci kvalitativního hodnocení je i zajištění nejvyšší možné míry provozní spolehlivosti a nejvhodnější energetické řízení v objektech zadavatele. </w:t>
      </w:r>
    </w:p>
    <w:p w:rsidR="002E7C1E" w:rsidRDefault="002E7C1E" w:rsidP="002E7C1E">
      <w:pPr>
        <w:pStyle w:val="MainTex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Hodnoceno bude následující: </w:t>
      </w:r>
    </w:p>
    <w:p w:rsidR="002E7C1E" w:rsidRPr="007054BF" w:rsidRDefault="002E7C1E" w:rsidP="002E7C1E">
      <w:pPr>
        <w:pStyle w:val="MainText"/>
        <w:numPr>
          <w:ilvl w:val="0"/>
          <w:numId w:val="5"/>
        </w:numPr>
        <w:rPr>
          <w:rFonts w:eastAsia="Times New Roman"/>
          <w:lang w:eastAsia="cs-CZ"/>
        </w:rPr>
      </w:pPr>
      <w:r w:rsidRPr="007054BF">
        <w:rPr>
          <w:rFonts w:eastAsia="Times New Roman"/>
          <w:lang w:eastAsia="cs-CZ"/>
        </w:rPr>
        <w:t xml:space="preserve">Do jaké míry bere projekt zřetel na efektivitu provozu </w:t>
      </w:r>
      <w:r>
        <w:rPr>
          <w:rFonts w:eastAsia="Times New Roman"/>
          <w:lang w:eastAsia="cs-CZ"/>
        </w:rPr>
        <w:t>opatření</w:t>
      </w:r>
      <w:r w:rsidRPr="007054BF">
        <w:rPr>
          <w:rFonts w:eastAsia="Times New Roman"/>
          <w:lang w:eastAsia="cs-CZ"/>
        </w:rPr>
        <w:t xml:space="preserve"> kontextu provozu </w:t>
      </w:r>
      <w:r>
        <w:rPr>
          <w:rFonts w:eastAsia="Times New Roman"/>
          <w:lang w:eastAsia="cs-CZ"/>
        </w:rPr>
        <w:t>jednotlivých objektů</w:t>
      </w:r>
      <w:r w:rsidRPr="007054BF">
        <w:rPr>
          <w:rFonts w:eastAsia="Times New Roman"/>
          <w:lang w:eastAsia="cs-CZ"/>
        </w:rPr>
        <w:t xml:space="preserve">.  </w:t>
      </w:r>
    </w:p>
    <w:p w:rsidR="002E7C1E" w:rsidRPr="007054BF" w:rsidRDefault="002E7C1E" w:rsidP="002E7C1E">
      <w:pPr>
        <w:pStyle w:val="MainText"/>
        <w:numPr>
          <w:ilvl w:val="0"/>
          <w:numId w:val="5"/>
        </w:numPr>
        <w:rPr>
          <w:rFonts w:eastAsia="Times New Roman"/>
          <w:lang w:eastAsia="cs-CZ"/>
        </w:rPr>
      </w:pPr>
      <w:r w:rsidRPr="007054BF">
        <w:rPr>
          <w:rFonts w:eastAsia="Times New Roman"/>
          <w:lang w:eastAsia="cs-CZ"/>
        </w:rPr>
        <w:t xml:space="preserve">Do jaké míry bude zajištěna provozní spolehlivost a energetické řízení </w:t>
      </w:r>
    </w:p>
    <w:p w:rsidR="002E7C1E" w:rsidRPr="007054BF" w:rsidRDefault="002E7C1E" w:rsidP="002E7C1E">
      <w:pPr>
        <w:pStyle w:val="MainText"/>
        <w:numPr>
          <w:ilvl w:val="0"/>
          <w:numId w:val="5"/>
        </w:numPr>
        <w:rPr>
          <w:rFonts w:eastAsia="Times New Roman"/>
          <w:lang w:eastAsia="cs-CZ"/>
        </w:rPr>
      </w:pPr>
      <w:r w:rsidRPr="00210895">
        <w:rPr>
          <w:rFonts w:eastAsia="Times New Roman"/>
          <w:b/>
          <w:lang w:eastAsia="cs-CZ"/>
        </w:rPr>
        <w:t>Podrobné vyčíslení nákladových položek</w:t>
      </w:r>
      <w:r w:rsidRPr="007054BF">
        <w:rPr>
          <w:rFonts w:eastAsia="Times New Roman"/>
          <w:lang w:eastAsia="cs-CZ"/>
        </w:rPr>
        <w:t xml:space="preserve">. </w:t>
      </w:r>
    </w:p>
    <w:p w:rsidR="002E7C1E" w:rsidRPr="007054BF" w:rsidRDefault="002E7C1E" w:rsidP="002E7C1E">
      <w:pPr>
        <w:pStyle w:val="MainText"/>
        <w:numPr>
          <w:ilvl w:val="0"/>
          <w:numId w:val="5"/>
        </w:numPr>
        <w:rPr>
          <w:rFonts w:eastAsia="Times New Roman"/>
          <w:lang w:eastAsia="cs-CZ"/>
        </w:rPr>
      </w:pPr>
      <w:r w:rsidRPr="007054BF">
        <w:rPr>
          <w:rFonts w:eastAsia="Times New Roman"/>
          <w:lang w:eastAsia="cs-CZ"/>
        </w:rPr>
        <w:t>Podrobné, do detailu, srozumitelně vysvětlené technické řešení projektu</w:t>
      </w:r>
    </w:p>
    <w:p w:rsidR="002E7C1E" w:rsidRPr="007054BF" w:rsidRDefault="002E7C1E" w:rsidP="002E7C1E">
      <w:pPr>
        <w:pStyle w:val="MainText"/>
        <w:numPr>
          <w:ilvl w:val="0"/>
          <w:numId w:val="5"/>
        </w:numPr>
        <w:rPr>
          <w:rFonts w:eastAsia="Times New Roman"/>
          <w:lang w:eastAsia="cs-CZ"/>
        </w:rPr>
      </w:pPr>
      <w:r w:rsidRPr="007054BF">
        <w:rPr>
          <w:rFonts w:eastAsia="Times New Roman"/>
          <w:lang w:eastAsia="cs-CZ"/>
        </w:rPr>
        <w:t xml:space="preserve">Podrobný časový harmonogram s uvedenými milníky  </w:t>
      </w:r>
    </w:p>
    <w:p w:rsidR="00210895" w:rsidRDefault="00210895" w:rsidP="00210895">
      <w:pPr>
        <w:rPr>
          <w:lang w:eastAsia="cs-CZ"/>
        </w:rPr>
      </w:pPr>
    </w:p>
    <w:p w:rsidR="002E7C1E" w:rsidRDefault="002E7C1E" w:rsidP="00210895">
      <w:pPr>
        <w:rPr>
          <w:lang w:eastAsia="cs-CZ"/>
        </w:rPr>
      </w:pPr>
      <w:r>
        <w:rPr>
          <w:lang w:eastAsia="cs-CZ"/>
        </w:rPr>
        <w:lastRenderedPageBreak/>
        <w:t xml:space="preserve">Každému z účastníků budou hodnotící komisí přiřazeny body. Výpočet bodů v daném </w:t>
      </w:r>
      <w:proofErr w:type="spellStart"/>
      <w:r>
        <w:rPr>
          <w:lang w:eastAsia="cs-CZ"/>
        </w:rPr>
        <w:t>subkritériu</w:t>
      </w:r>
      <w:proofErr w:type="spellEnd"/>
    </w:p>
    <w:p w:rsidR="002E7C1E" w:rsidRPr="007054BF" w:rsidRDefault="002E7C1E" w:rsidP="002E7C1E">
      <w:pPr>
        <w:pStyle w:val="MainText"/>
      </w:pPr>
      <m:oMathPara>
        <m:oMath>
          <m:r>
            <w:rPr>
              <w:rFonts w:ascii="Cambria Math" w:eastAsia="Times New Roman" w:hAnsi="Cambria Math"/>
            </w:rPr>
            <m:t>Počet bodů kritéria=100*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Hodnota bodů nabídky</m:t>
              </m:r>
            </m:num>
            <m:den>
              <m:r>
                <w:rPr>
                  <w:rFonts w:ascii="Cambria Math" w:eastAsia="Times New Roman" w:hAnsi="Cambria Math"/>
                </w:rPr>
                <m:t>Hodnota s nejvyšším počtem bodů  nabídky</m:t>
              </m:r>
            </m:den>
          </m:f>
        </m:oMath>
      </m:oMathPara>
    </w:p>
    <w:p w:rsidR="002E7C1E" w:rsidRDefault="002E7C1E"/>
    <w:p w:rsidR="002E7C1E" w:rsidRDefault="002E7C1E" w:rsidP="002E7C1E">
      <w:pPr>
        <w:pStyle w:val="Nadpis1"/>
        <w:keepLines/>
        <w:tabs>
          <w:tab w:val="clear" w:pos="432"/>
        </w:tabs>
        <w:spacing w:before="240"/>
      </w:pPr>
      <w:bookmarkStart w:id="14" w:name="_Toc493538172"/>
      <w:r w:rsidRPr="0009665D">
        <w:t>Termín prohlídky na místě</w:t>
      </w:r>
      <w:bookmarkEnd w:id="14"/>
      <w:r w:rsidRPr="0009665D">
        <w:t xml:space="preserve"> </w:t>
      </w:r>
    </w:p>
    <w:p w:rsidR="00210895" w:rsidRDefault="00210895" w:rsidP="00210895"/>
    <w:p w:rsidR="002E7C1E" w:rsidRDefault="002E7C1E" w:rsidP="005C30C2">
      <w:r>
        <w:t>Vždy po 5 objektech</w:t>
      </w:r>
      <w:r w:rsidR="005C30C2">
        <w:t xml:space="preserve">, dle přiloženého harmonogramu. </w:t>
      </w:r>
      <w:bookmarkStart w:id="15" w:name="_GoBack"/>
      <w:bookmarkEnd w:id="15"/>
    </w:p>
    <w:p w:rsidR="00210895" w:rsidRDefault="00210895" w:rsidP="00210895">
      <w:pPr>
        <w:pStyle w:val="Nadpis1"/>
      </w:pPr>
      <w:bookmarkStart w:id="16" w:name="_Toc497735267"/>
      <w:r>
        <w:t>Minimální technické požadavky</w:t>
      </w:r>
      <w:bookmarkEnd w:id="16"/>
      <w:r>
        <w:t xml:space="preserve"> </w:t>
      </w:r>
    </w:p>
    <w:p w:rsidR="00210895" w:rsidRDefault="00210895" w:rsidP="00210895">
      <w:r>
        <w:t xml:space="preserve">Dodavatel musí nabídnout technické a stavební řešení k níže uvedeným </w:t>
      </w:r>
      <w:proofErr w:type="gramStart"/>
      <w:r>
        <w:t>budovám</w:t>
      </w:r>
      <w:proofErr w:type="gramEnd"/>
      <w:r>
        <w:t xml:space="preserve"> a to v následujícím rozsahu:</w:t>
      </w:r>
    </w:p>
    <w:p w:rsidR="00210895" w:rsidRDefault="00210895" w:rsidP="00210895">
      <w:pPr>
        <w:pStyle w:val="Odstavecseseznamem"/>
        <w:numPr>
          <w:ilvl w:val="0"/>
          <w:numId w:val="8"/>
        </w:numPr>
      </w:pPr>
      <w:r>
        <w:t>Stanovení vhodných výkonových a funkčních parametrů a jejich naplnění při provozu vedoucí k minimalizaci celkových nákladů</w:t>
      </w:r>
    </w:p>
    <w:p w:rsidR="00210895" w:rsidRDefault="00210895" w:rsidP="00210895">
      <w:pPr>
        <w:pStyle w:val="Odstavecseseznamem"/>
        <w:numPr>
          <w:ilvl w:val="0"/>
          <w:numId w:val="8"/>
        </w:numPr>
      </w:pPr>
      <w:r>
        <w:t>Sledování, vyhodnocování a řízení spotřeby energií</w:t>
      </w:r>
    </w:p>
    <w:p w:rsidR="00210895" w:rsidRPr="008C3F2C" w:rsidRDefault="00210895" w:rsidP="00210895">
      <w:r>
        <w:t>K uvedeným budovám bude žádat o dotaci z programu OPŽP 2014-2020 Priorita 5 – Energetické úspory.</w:t>
      </w:r>
    </w:p>
    <w:p w:rsidR="00210895" w:rsidRDefault="00210895" w:rsidP="00210895">
      <w:r w:rsidRPr="000D21E3">
        <w:t xml:space="preserve">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3870"/>
        <w:gridCol w:w="3597"/>
      </w:tblGrid>
      <w:tr w:rsidR="00210895" w:rsidRPr="00971C2D" w:rsidTr="00803543"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Číslo objektu</w:t>
            </w:r>
          </w:p>
        </w:tc>
        <w:tc>
          <w:tcPr>
            <w:tcW w:w="0" w:type="auto"/>
          </w:tcPr>
          <w:p w:rsidR="00210895" w:rsidRPr="00971C2D" w:rsidRDefault="00210895" w:rsidP="00803543">
            <w:pPr>
              <w:pStyle w:val="MainText"/>
              <w:spacing w:before="0"/>
            </w:pPr>
            <w:r>
              <w:t xml:space="preserve">Objekt </w:t>
            </w:r>
          </w:p>
        </w:tc>
        <w:tc>
          <w:tcPr>
            <w:tcW w:w="0" w:type="auto"/>
          </w:tcPr>
          <w:p w:rsidR="00210895" w:rsidRPr="00971C2D" w:rsidRDefault="00210895" w:rsidP="00803543">
            <w:pPr>
              <w:pStyle w:val="MainText"/>
              <w:spacing w:before="0"/>
            </w:pPr>
            <w:r>
              <w:t xml:space="preserve">Adresa </w:t>
            </w:r>
          </w:p>
        </w:tc>
      </w:tr>
      <w:tr w:rsidR="00210895" w:rsidTr="00803543"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1</w:t>
            </w:r>
          </w:p>
        </w:tc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Ubytovna Drahomíra</w:t>
            </w:r>
          </w:p>
        </w:tc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Kollárova 539/13, Karlovy Vary</w:t>
            </w:r>
          </w:p>
        </w:tc>
      </w:tr>
      <w:tr w:rsidR="00210895" w:rsidTr="00803543"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2</w:t>
            </w:r>
          </w:p>
        </w:tc>
        <w:tc>
          <w:tcPr>
            <w:tcW w:w="0" w:type="auto"/>
          </w:tcPr>
          <w:p w:rsidR="00210895" w:rsidRPr="00971C2D" w:rsidRDefault="00210895" w:rsidP="00803543">
            <w:pPr>
              <w:pStyle w:val="MainText"/>
              <w:spacing w:before="0"/>
            </w:pPr>
            <w:r>
              <w:t>AB Západní</w:t>
            </w:r>
          </w:p>
        </w:tc>
        <w:tc>
          <w:tcPr>
            <w:tcW w:w="0" w:type="auto"/>
          </w:tcPr>
          <w:p w:rsidR="00210895" w:rsidRPr="00971C2D" w:rsidRDefault="00210895" w:rsidP="00803543">
            <w:pPr>
              <w:pStyle w:val="MainText"/>
              <w:spacing w:before="0"/>
            </w:pPr>
            <w:r>
              <w:t>Západní 1401/63, Karlovy Vary</w:t>
            </w:r>
          </w:p>
        </w:tc>
      </w:tr>
      <w:tr w:rsidR="00210895" w:rsidTr="00803543"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>
              <w:t>3</w:t>
            </w:r>
          </w:p>
        </w:tc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 w:rsidRPr="00971C2D">
              <w:t>Městské zařízení sociálních služeb</w:t>
            </w:r>
          </w:p>
        </w:tc>
        <w:tc>
          <w:tcPr>
            <w:tcW w:w="0" w:type="auto"/>
          </w:tcPr>
          <w:p w:rsidR="00210895" w:rsidRDefault="00210895" w:rsidP="00803543">
            <w:pPr>
              <w:pStyle w:val="MainText"/>
              <w:spacing w:before="0"/>
            </w:pPr>
            <w:r w:rsidRPr="008C3F2C">
              <w:t>Východní 621/16</w:t>
            </w:r>
            <w:r>
              <w:t>, Karlovy Vary</w:t>
            </w:r>
          </w:p>
        </w:tc>
      </w:tr>
    </w:tbl>
    <w:p w:rsidR="00210895" w:rsidRDefault="00210895"/>
    <w:p w:rsidR="00210895" w:rsidRDefault="005068B3" w:rsidP="005068B3">
      <w:pPr>
        <w:pStyle w:val="Nadpis1"/>
      </w:pPr>
      <w:r>
        <w:t xml:space="preserve">Přílohy </w:t>
      </w:r>
    </w:p>
    <w:p w:rsidR="005068B3" w:rsidRDefault="005068B3" w:rsidP="005068B3">
      <w:pPr>
        <w:pStyle w:val="MainText"/>
      </w:pPr>
      <w:r>
        <w:t>Příloha č.1 Krycí list předběžné nabídky</w:t>
      </w:r>
    </w:p>
    <w:p w:rsidR="00D87BA6" w:rsidRDefault="005068B3" w:rsidP="005068B3">
      <w:pPr>
        <w:pStyle w:val="MainText"/>
      </w:pPr>
      <w:bookmarkStart w:id="17" w:name="_Hlk513723996"/>
      <w:r>
        <w:t xml:space="preserve">Příloha č.2 Požadavky na obsah nabídek </w:t>
      </w:r>
    </w:p>
    <w:p w:rsidR="005068B3" w:rsidRDefault="00D87BA6" w:rsidP="005068B3">
      <w:pPr>
        <w:pStyle w:val="MainText"/>
      </w:pPr>
      <w:r>
        <w:t>Příloha č.3</w:t>
      </w:r>
      <w:r w:rsidR="005068B3">
        <w:t xml:space="preserve"> </w:t>
      </w:r>
      <w:bookmarkEnd w:id="17"/>
      <w:r>
        <w:t xml:space="preserve">Harmonogram prohlídek </w:t>
      </w:r>
    </w:p>
    <w:p w:rsidR="005068B3" w:rsidRDefault="005068B3" w:rsidP="005068B3">
      <w:pPr>
        <w:pStyle w:val="MainText"/>
      </w:pPr>
    </w:p>
    <w:p w:rsidR="00210895" w:rsidRDefault="00210895" w:rsidP="00210895">
      <w:r>
        <w:t xml:space="preserve">V Karlových Varech </w:t>
      </w:r>
    </w:p>
    <w:p w:rsidR="00210895" w:rsidRDefault="00210895" w:rsidP="00210895"/>
    <w:p w:rsidR="00210895" w:rsidRDefault="00210895" w:rsidP="00210895">
      <w:r>
        <w:t>10.5.2018</w:t>
      </w:r>
    </w:p>
    <w:p w:rsidR="00210895" w:rsidRDefault="00210895" w:rsidP="00210895"/>
    <w:p w:rsidR="00210895" w:rsidRDefault="00210895" w:rsidP="00210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895" w:rsidRDefault="00210895" w:rsidP="004D3F31">
      <w:pPr>
        <w:ind w:left="4248" w:firstLine="708"/>
      </w:pPr>
      <w:r>
        <w:tab/>
      </w:r>
    </w:p>
    <w:sectPr w:rsidR="00210895" w:rsidSect="00E84957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D2" w:rsidRDefault="00C954D2" w:rsidP="00C954D2">
      <w:pPr>
        <w:spacing w:after="0" w:line="240" w:lineRule="auto"/>
      </w:pPr>
      <w:r>
        <w:separator/>
      </w:r>
    </w:p>
  </w:endnote>
  <w:endnote w:type="continuationSeparator" w:id="0">
    <w:p w:rsidR="00C954D2" w:rsidRDefault="00C954D2" w:rsidP="00C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57" w:rsidRDefault="00E84957" w:rsidP="00E84957">
    <w:pPr>
      <w:pStyle w:val="Zpat"/>
      <w:ind w:left="-142"/>
      <w:rPr>
        <w:b/>
      </w:rPr>
    </w:pPr>
    <w:r w:rsidRPr="00E84957">
      <w:rPr>
        <w:b/>
        <w:noProof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79C58FA" wp14:editId="640E29C9">
          <wp:simplePos x="0" y="0"/>
          <wp:positionH relativeFrom="page">
            <wp:posOffset>401320</wp:posOffset>
          </wp:positionH>
          <wp:positionV relativeFrom="paragraph">
            <wp:posOffset>107950</wp:posOffset>
          </wp:positionV>
          <wp:extent cx="7560000" cy="540000"/>
          <wp:effectExtent l="0" t="0" r="3175" b="0"/>
          <wp:wrapNone/>
          <wp:docPr id="7" name="obrázek 49" descr="loydgroup-hlavickaslozka_d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ydgroup-hlavickaslozka_do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957" w:rsidRDefault="00E84957" w:rsidP="00E84957">
    <w:pPr>
      <w:pStyle w:val="Zpat"/>
      <w:ind w:left="-142"/>
      <w:rPr>
        <w:b/>
      </w:rPr>
    </w:pPr>
  </w:p>
  <w:p w:rsidR="00E84957" w:rsidRPr="00E84957" w:rsidRDefault="00E84957" w:rsidP="00E84957">
    <w:pPr>
      <w:pStyle w:val="Zpat"/>
      <w:ind w:left="-142"/>
      <w:rPr>
        <w:b/>
      </w:rPr>
    </w:pPr>
    <w:r w:rsidRPr="00E84957">
      <w:rPr>
        <w:b/>
      </w:rPr>
      <w:t>MĚSTO KARLOVY VARY</w:t>
    </w:r>
    <w:r>
      <w:rPr>
        <w:b/>
      </w:rPr>
      <w:t xml:space="preserve">                   VÝZVA K PODÁNÍ PŘEDBĚŽNÝCH NABÍDEK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57" w:rsidRDefault="00E84957" w:rsidP="00E84957">
    <w:pPr>
      <w:ind w:firstLine="360"/>
      <w:jc w:val="right"/>
    </w:pPr>
  </w:p>
  <w:p w:rsidR="00E84957" w:rsidRDefault="00E84957" w:rsidP="00E84957">
    <w:pPr>
      <w:ind w:firstLine="360"/>
      <w:jc w:val="right"/>
    </w:pPr>
    <w:r w:rsidRPr="00CA1375">
      <w:t xml:space="preserve">w </w:t>
    </w:r>
    <w:proofErr w:type="spellStart"/>
    <w:r w:rsidRPr="00CA1375">
      <w:t>w</w:t>
    </w:r>
    <w:proofErr w:type="spellEnd"/>
    <w:r w:rsidRPr="00CA1375">
      <w:t xml:space="preserve"> </w:t>
    </w:r>
    <w:proofErr w:type="spellStart"/>
    <w:proofErr w:type="gramStart"/>
    <w:r w:rsidRPr="00CA1375">
      <w:t>w</w:t>
    </w:r>
    <w:proofErr w:type="spellEnd"/>
    <w:r w:rsidRPr="00CA1375">
      <w:t xml:space="preserve"> .</w:t>
    </w:r>
    <w:proofErr w:type="gramEnd"/>
    <w:r w:rsidRPr="00CA1375">
      <w:t xml:space="preserve"> l o y d g r o u </w:t>
    </w:r>
    <w:proofErr w:type="gramStart"/>
    <w:r w:rsidRPr="00CA1375">
      <w:t>p .</w:t>
    </w:r>
    <w:proofErr w:type="gramEnd"/>
    <w:r w:rsidRPr="00CA1375">
      <w:t xml:space="preserve"> c z</w:t>
    </w:r>
  </w:p>
  <w:p w:rsidR="00C954D2" w:rsidRDefault="00C95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D2" w:rsidRDefault="00C954D2" w:rsidP="00C954D2">
      <w:pPr>
        <w:spacing w:after="0" w:line="240" w:lineRule="auto"/>
      </w:pPr>
      <w:r>
        <w:separator/>
      </w:r>
    </w:p>
  </w:footnote>
  <w:footnote w:type="continuationSeparator" w:id="0">
    <w:p w:rsidR="00C954D2" w:rsidRDefault="00C954D2" w:rsidP="00C9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4" type="#_x0000_t75" style="width:296.25pt;height:389.25pt" o:bullet="t">
        <v:imagedata r:id="rId1" o:title=""/>
      </v:shape>
    </w:pict>
  </w:numPicBullet>
  <w:abstractNum w:abstractNumId="0" w15:restartNumberingAfterBreak="0">
    <w:nsid w:val="0E03395D"/>
    <w:multiLevelType w:val="multilevel"/>
    <w:tmpl w:val="29609752"/>
    <w:lvl w:ilvl="0">
      <w:start w:val="1"/>
      <w:numFmt w:val="decimal"/>
      <w:pStyle w:val="FigureHeading"/>
      <w:lvlText w:val="Obr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" w15:restartNumberingAfterBreak="0">
    <w:nsid w:val="109F4F9C"/>
    <w:multiLevelType w:val="hybridMultilevel"/>
    <w:tmpl w:val="D93ECC62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4112"/>
    <w:multiLevelType w:val="multilevel"/>
    <w:tmpl w:val="0B503A1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CDF2F40"/>
    <w:multiLevelType w:val="hybridMultilevel"/>
    <w:tmpl w:val="A978E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6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AB0"/>
    <w:multiLevelType w:val="hybridMultilevel"/>
    <w:tmpl w:val="D978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F73"/>
    <w:multiLevelType w:val="multilevel"/>
    <w:tmpl w:val="E642FF7A"/>
    <w:lvl w:ilvl="0">
      <w:start w:val="1"/>
      <w:numFmt w:val="decimal"/>
      <w:pStyle w:val="TableHeading"/>
      <w:lvlText w:val="Tab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6" w15:restartNumberingAfterBreak="0">
    <w:nsid w:val="666622F3"/>
    <w:multiLevelType w:val="hybridMultilevel"/>
    <w:tmpl w:val="BCCED05A"/>
    <w:lvl w:ilvl="0" w:tplc="CC36B63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7005BC"/>
    <w:multiLevelType w:val="hybridMultilevel"/>
    <w:tmpl w:val="40AA0CB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D2"/>
    <w:rsid w:val="000A0D36"/>
    <w:rsid w:val="00210895"/>
    <w:rsid w:val="00262D80"/>
    <w:rsid w:val="002E7C1E"/>
    <w:rsid w:val="00340C41"/>
    <w:rsid w:val="004D3F31"/>
    <w:rsid w:val="005068B3"/>
    <w:rsid w:val="005560AC"/>
    <w:rsid w:val="00583450"/>
    <w:rsid w:val="005C30C2"/>
    <w:rsid w:val="00654325"/>
    <w:rsid w:val="00681162"/>
    <w:rsid w:val="006D5FF6"/>
    <w:rsid w:val="0083249F"/>
    <w:rsid w:val="00A3468F"/>
    <w:rsid w:val="00AD5605"/>
    <w:rsid w:val="00C94AA2"/>
    <w:rsid w:val="00C954D2"/>
    <w:rsid w:val="00CC266B"/>
    <w:rsid w:val="00D179FA"/>
    <w:rsid w:val="00D359AF"/>
    <w:rsid w:val="00D87BA6"/>
    <w:rsid w:val="00E84957"/>
    <w:rsid w:val="00F32E9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D83D5"/>
  <w15:chartTrackingRefBased/>
  <w15:docId w15:val="{63510913-1217-4BC7-832F-6DE7E55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0895"/>
    <w:pPr>
      <w:jc w:val="both"/>
    </w:pPr>
    <w:rPr>
      <w:rFonts w:ascii="Verdana" w:hAnsi="Verdana"/>
      <w:spacing w:val="10"/>
      <w:sz w:val="20"/>
    </w:rPr>
  </w:style>
  <w:style w:type="paragraph" w:styleId="Nadpis1">
    <w:name w:val="heading 1"/>
    <w:basedOn w:val="Normln"/>
    <w:next w:val="MainText"/>
    <w:link w:val="Nadpis1Char"/>
    <w:uiPriority w:val="99"/>
    <w:qFormat/>
    <w:rsid w:val="00210895"/>
    <w:pPr>
      <w:keepNext/>
      <w:numPr>
        <w:numId w:val="1"/>
      </w:numPr>
      <w:spacing w:after="0" w:line="240" w:lineRule="auto"/>
      <w:outlineLvl w:val="0"/>
    </w:pPr>
    <w:rPr>
      <w:rFonts w:eastAsia="MS Mincho" w:cs="Arial"/>
      <w:b/>
      <w:bCs/>
      <w:caps/>
      <w:sz w:val="24"/>
      <w:szCs w:val="24"/>
    </w:rPr>
  </w:style>
  <w:style w:type="paragraph" w:styleId="Nadpis2">
    <w:name w:val="heading 2"/>
    <w:basedOn w:val="Normln"/>
    <w:next w:val="MainText"/>
    <w:link w:val="Nadpis2Char"/>
    <w:uiPriority w:val="99"/>
    <w:qFormat/>
    <w:rsid w:val="00F32E96"/>
    <w:pPr>
      <w:keepNext/>
      <w:numPr>
        <w:ilvl w:val="1"/>
        <w:numId w:val="1"/>
      </w:numPr>
      <w:spacing w:before="360" w:after="0" w:line="240" w:lineRule="auto"/>
      <w:outlineLvl w:val="1"/>
    </w:pPr>
    <w:rPr>
      <w:rFonts w:eastAsia="MS Mincho" w:cs="Arial"/>
      <w:b/>
      <w:bCs/>
      <w:szCs w:val="24"/>
    </w:rPr>
  </w:style>
  <w:style w:type="paragraph" w:styleId="Nadpis3">
    <w:name w:val="heading 3"/>
    <w:basedOn w:val="MainText"/>
    <w:next w:val="MainText"/>
    <w:link w:val="Nadpis3Char"/>
    <w:uiPriority w:val="99"/>
    <w:qFormat/>
    <w:rsid w:val="00F32E96"/>
    <w:pPr>
      <w:keepNext/>
      <w:numPr>
        <w:ilvl w:val="2"/>
        <w:numId w:val="1"/>
      </w:numPr>
      <w:tabs>
        <w:tab w:val="clear" w:pos="1855"/>
        <w:tab w:val="num" w:pos="360"/>
      </w:tabs>
      <w:ind w:left="0" w:firstLine="0"/>
      <w:outlineLvl w:val="2"/>
    </w:pPr>
    <w:rPr>
      <w:rFonts w:cs="Arial"/>
      <w:b/>
      <w:bCs/>
      <w:i/>
    </w:rPr>
  </w:style>
  <w:style w:type="paragraph" w:styleId="Nadpis4">
    <w:name w:val="heading 4"/>
    <w:basedOn w:val="Normln"/>
    <w:next w:val="MainText"/>
    <w:link w:val="Nadpis4Char"/>
    <w:uiPriority w:val="99"/>
    <w:qFormat/>
    <w:rsid w:val="00F32E96"/>
    <w:pPr>
      <w:keepNext/>
      <w:numPr>
        <w:ilvl w:val="3"/>
        <w:numId w:val="1"/>
      </w:numPr>
      <w:tabs>
        <w:tab w:val="clear" w:pos="864"/>
      </w:tabs>
      <w:spacing w:before="240" w:after="0" w:line="240" w:lineRule="auto"/>
      <w:ind w:left="720" w:hanging="720"/>
      <w:outlineLvl w:val="3"/>
    </w:pPr>
    <w:rPr>
      <w:rFonts w:eastAsia="MS Mincho" w:cs="Arial"/>
      <w:b/>
      <w:bCs/>
      <w:i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F32E96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eastAsia="MS Mincho" w:hAnsi="Arial" w:cs="Arial"/>
      <w:b/>
      <w:bCs/>
      <w:i/>
      <w:sz w:val="18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F32E96"/>
    <w:pPr>
      <w:numPr>
        <w:ilvl w:val="5"/>
        <w:numId w:val="1"/>
      </w:numPr>
      <w:spacing w:before="240" w:after="60" w:line="240" w:lineRule="auto"/>
      <w:outlineLvl w:val="5"/>
    </w:pPr>
    <w:rPr>
      <w:rFonts w:eastAsia="MS Mincho" w:cs="Times New Roman"/>
      <w:b/>
      <w:bCs/>
    </w:rPr>
  </w:style>
  <w:style w:type="paragraph" w:styleId="Nadpis7">
    <w:name w:val="heading 7"/>
    <w:basedOn w:val="MainText"/>
    <w:next w:val="MainText"/>
    <w:link w:val="Nadpis7Char"/>
    <w:uiPriority w:val="99"/>
    <w:qFormat/>
    <w:rsid w:val="00F32E96"/>
    <w:pPr>
      <w:keepNext/>
      <w:numPr>
        <w:ilvl w:val="6"/>
        <w:numId w:val="1"/>
      </w:numPr>
      <w:tabs>
        <w:tab w:val="clear" w:pos="1296"/>
        <w:tab w:val="num" w:pos="360"/>
      </w:tabs>
      <w:spacing w:after="110" w:line="220" w:lineRule="exact"/>
      <w:ind w:left="0" w:firstLine="0"/>
      <w:outlineLvl w:val="6"/>
    </w:pPr>
    <w:rPr>
      <w:rFonts w:cs="Arial"/>
      <w:b/>
      <w:bCs/>
      <w:sz w:val="22"/>
    </w:rPr>
  </w:style>
  <w:style w:type="paragraph" w:styleId="Nadpis8">
    <w:name w:val="heading 8"/>
    <w:basedOn w:val="MainText"/>
    <w:next w:val="MainText"/>
    <w:link w:val="Nadpis8Char"/>
    <w:uiPriority w:val="99"/>
    <w:qFormat/>
    <w:rsid w:val="00F32E96"/>
    <w:pPr>
      <w:numPr>
        <w:ilvl w:val="7"/>
        <w:numId w:val="1"/>
      </w:numPr>
      <w:tabs>
        <w:tab w:val="clear" w:pos="1440"/>
        <w:tab w:val="num" w:pos="360"/>
      </w:tabs>
      <w:spacing w:after="60"/>
      <w:ind w:left="0" w:firstLine="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32E96"/>
    <w:pPr>
      <w:numPr>
        <w:ilvl w:val="8"/>
        <w:numId w:val="1"/>
      </w:numPr>
      <w:spacing w:before="240" w:after="60" w:line="240" w:lineRule="auto"/>
      <w:outlineLvl w:val="8"/>
    </w:pPr>
    <w:rPr>
      <w:rFonts w:eastAsia="MS Mincho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4D2"/>
  </w:style>
  <w:style w:type="paragraph" w:styleId="Zpat">
    <w:name w:val="footer"/>
    <w:basedOn w:val="Normln"/>
    <w:link w:val="ZpatChar"/>
    <w:uiPriority w:val="99"/>
    <w:unhideWhenUsed/>
    <w:rsid w:val="00C9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4D2"/>
  </w:style>
  <w:style w:type="character" w:customStyle="1" w:styleId="Nadpis1Char">
    <w:name w:val="Nadpis 1 Char"/>
    <w:basedOn w:val="Standardnpsmoodstavce"/>
    <w:link w:val="Nadpis1"/>
    <w:uiPriority w:val="99"/>
    <w:rsid w:val="00210895"/>
    <w:rPr>
      <w:rFonts w:ascii="Verdana" w:eastAsia="MS Mincho" w:hAnsi="Verdana" w:cs="Arial"/>
      <w:b/>
      <w:bCs/>
      <w:caps/>
      <w:spacing w:val="1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F32E96"/>
    <w:rPr>
      <w:rFonts w:ascii="Verdana" w:eastAsia="MS Mincho" w:hAnsi="Verdana" w:cs="Arial"/>
      <w:b/>
      <w:bCs/>
      <w:spacing w:val="10"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32E96"/>
    <w:rPr>
      <w:rFonts w:ascii="Verdana" w:eastAsia="MS Mincho" w:hAnsi="Verdana" w:cs="Arial"/>
      <w:b/>
      <w:bCs/>
      <w:i/>
      <w:spacing w:val="1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32E96"/>
    <w:rPr>
      <w:rFonts w:ascii="Verdana" w:eastAsia="MS Mincho" w:hAnsi="Verdana" w:cs="Arial"/>
      <w:b/>
      <w:bCs/>
      <w:i/>
      <w:spacing w:val="10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rsid w:val="00F32E96"/>
    <w:rPr>
      <w:rFonts w:ascii="Arial" w:eastAsia="MS Mincho" w:hAnsi="Arial" w:cs="Arial"/>
      <w:b/>
      <w:bCs/>
      <w:i/>
      <w:spacing w:val="10"/>
      <w:sz w:val="18"/>
      <w:szCs w:val="16"/>
    </w:rPr>
  </w:style>
  <w:style w:type="character" w:customStyle="1" w:styleId="Nadpis6Char">
    <w:name w:val="Nadpis 6 Char"/>
    <w:basedOn w:val="Standardnpsmoodstavce"/>
    <w:link w:val="Nadpis6"/>
    <w:uiPriority w:val="99"/>
    <w:rsid w:val="00F32E96"/>
    <w:rPr>
      <w:rFonts w:ascii="Verdana" w:eastAsia="MS Mincho" w:hAnsi="Verdana" w:cs="Times New Roman"/>
      <w:b/>
      <w:bCs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rsid w:val="00F32E96"/>
    <w:rPr>
      <w:rFonts w:ascii="Verdana" w:eastAsia="MS Mincho" w:hAnsi="Verdana" w:cs="Arial"/>
      <w:b/>
      <w:bCs/>
      <w:spacing w:val="10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F32E96"/>
    <w:rPr>
      <w:rFonts w:ascii="Verdana" w:eastAsia="MS Mincho" w:hAnsi="Verdana" w:cs="Times New Roman"/>
      <w:i/>
      <w:iCs/>
      <w:spacing w:val="10"/>
      <w:sz w:val="20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F32E96"/>
    <w:rPr>
      <w:rFonts w:ascii="Verdana" w:eastAsia="MS Mincho" w:hAnsi="Verdana" w:cs="Arial"/>
      <w:spacing w:val="10"/>
    </w:rPr>
  </w:style>
  <w:style w:type="paragraph" w:customStyle="1" w:styleId="MainText">
    <w:name w:val="Main Text"/>
    <w:basedOn w:val="Normln"/>
    <w:link w:val="MainTextChar"/>
    <w:uiPriority w:val="99"/>
    <w:rsid w:val="00F32E96"/>
    <w:pPr>
      <w:spacing w:before="240" w:after="0" w:line="240" w:lineRule="auto"/>
    </w:pPr>
    <w:rPr>
      <w:rFonts w:eastAsia="MS Mincho" w:cs="Times New Roman"/>
      <w:szCs w:val="24"/>
    </w:rPr>
  </w:style>
  <w:style w:type="character" w:customStyle="1" w:styleId="MainTextChar">
    <w:name w:val="Main Text Char"/>
    <w:link w:val="MainText"/>
    <w:uiPriority w:val="99"/>
    <w:locked/>
    <w:rsid w:val="00F32E96"/>
    <w:rPr>
      <w:rFonts w:ascii="Verdana" w:eastAsia="MS Mincho" w:hAnsi="Verdana" w:cs="Times New Roman"/>
      <w:spacing w:val="10"/>
      <w:sz w:val="20"/>
      <w:szCs w:val="24"/>
    </w:rPr>
  </w:style>
  <w:style w:type="character" w:styleId="Hypertextovodkaz">
    <w:name w:val="Hyperlink"/>
    <w:basedOn w:val="Standardnpsmoodstavce"/>
    <w:uiPriority w:val="99"/>
    <w:rsid w:val="00F32E96"/>
    <w:rPr>
      <w:rFonts w:cs="Times New Roman"/>
      <w:color w:val="0000FF"/>
      <w:u w:val="single"/>
    </w:rPr>
  </w:style>
  <w:style w:type="paragraph" w:customStyle="1" w:styleId="TableHeading">
    <w:name w:val="Table Heading"/>
    <w:basedOn w:val="Normln"/>
    <w:next w:val="MainText"/>
    <w:link w:val="TableHeadingCharChar"/>
    <w:uiPriority w:val="99"/>
    <w:rsid w:val="00F32E96"/>
    <w:pPr>
      <w:keepNext/>
      <w:numPr>
        <w:numId w:val="2"/>
      </w:numPr>
      <w:spacing w:before="360" w:after="120" w:line="240" w:lineRule="auto"/>
    </w:pPr>
    <w:rPr>
      <w:rFonts w:eastAsia="MS Mincho" w:cs="Times New Roman"/>
      <w:b/>
      <w:bCs/>
      <w:sz w:val="16"/>
      <w:szCs w:val="24"/>
    </w:rPr>
  </w:style>
  <w:style w:type="character" w:customStyle="1" w:styleId="TableHeadingCharChar">
    <w:name w:val="Table Heading Char Char"/>
    <w:basedOn w:val="Standardnpsmoodstavce"/>
    <w:link w:val="TableHeading"/>
    <w:uiPriority w:val="99"/>
    <w:locked/>
    <w:rsid w:val="00F32E96"/>
    <w:rPr>
      <w:rFonts w:ascii="Verdana" w:eastAsia="MS Mincho" w:hAnsi="Verdana" w:cs="Times New Roman"/>
      <w:b/>
      <w:bCs/>
      <w:spacing w:val="10"/>
      <w:sz w:val="16"/>
      <w:szCs w:val="24"/>
    </w:rPr>
  </w:style>
  <w:style w:type="paragraph" w:customStyle="1" w:styleId="TableText">
    <w:name w:val="Table Text"/>
    <w:basedOn w:val="Normln"/>
    <w:link w:val="TableTextChar1"/>
    <w:rsid w:val="00F32E96"/>
    <w:pPr>
      <w:spacing w:before="60" w:after="60" w:line="240" w:lineRule="auto"/>
    </w:pPr>
    <w:rPr>
      <w:rFonts w:eastAsia="MS Mincho" w:cs="Times New Roman"/>
      <w:sz w:val="18"/>
      <w:szCs w:val="18"/>
    </w:rPr>
  </w:style>
  <w:style w:type="character" w:customStyle="1" w:styleId="TableTextChar1">
    <w:name w:val="Table Text Char1"/>
    <w:link w:val="TableText"/>
    <w:locked/>
    <w:rsid w:val="00F32E96"/>
    <w:rPr>
      <w:rFonts w:ascii="Verdana" w:eastAsia="MS Mincho" w:hAnsi="Verdana" w:cs="Times New Roman"/>
      <w:spacing w:val="10"/>
      <w:sz w:val="18"/>
      <w:szCs w:val="18"/>
    </w:rPr>
  </w:style>
  <w:style w:type="table" w:styleId="Mkatabulky">
    <w:name w:val="Table Grid"/>
    <w:basedOn w:val="Normlntabulka"/>
    <w:uiPriority w:val="99"/>
    <w:rsid w:val="00F32E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2E7C1E"/>
    <w:pPr>
      <w:spacing w:after="200" w:line="240" w:lineRule="auto"/>
    </w:pPr>
    <w:rPr>
      <w:rFonts w:eastAsia="MS Mincho" w:cs="Times New Roman"/>
      <w:i/>
      <w:iCs/>
      <w:color w:val="44546A" w:themeColor="text2"/>
      <w:sz w:val="18"/>
      <w:szCs w:val="18"/>
    </w:rPr>
  </w:style>
  <w:style w:type="paragraph" w:customStyle="1" w:styleId="FigureHeading">
    <w:name w:val="Figure Heading"/>
    <w:basedOn w:val="MainText"/>
    <w:next w:val="MainText"/>
    <w:uiPriority w:val="99"/>
    <w:rsid w:val="002E7C1E"/>
    <w:pPr>
      <w:keepNext/>
      <w:numPr>
        <w:numId w:val="4"/>
      </w:numPr>
      <w:spacing w:before="360" w:after="120"/>
      <w:ind w:left="720" w:hanging="720"/>
    </w:pPr>
    <w:rPr>
      <w:b/>
      <w:bCs/>
      <w:sz w:val="16"/>
    </w:rPr>
  </w:style>
  <w:style w:type="paragraph" w:styleId="Odstavecseseznamem">
    <w:name w:val="List Paragraph"/>
    <w:basedOn w:val="Normln"/>
    <w:uiPriority w:val="34"/>
    <w:qFormat/>
    <w:rsid w:val="0021089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8116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80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tin.zapletal@loydgroup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stnikverejnychzakazek.cz/SearchForm/SearchContract?contractNumber=Z2018-0093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zak.mmkv.cz/vz000006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vestnikverejnychzakazek.cz/Form02/Display/61516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libor.prouza@loydgroup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DED7-9838-46E8-A149-C4554942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2009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Zapletal</dc:creator>
  <cp:keywords/>
  <dc:description/>
  <cp:lastModifiedBy>Martin Zapletal</cp:lastModifiedBy>
  <cp:revision>15</cp:revision>
  <cp:lastPrinted>2018-05-10T12:14:00Z</cp:lastPrinted>
  <dcterms:created xsi:type="dcterms:W3CDTF">2018-05-10T10:19:00Z</dcterms:created>
  <dcterms:modified xsi:type="dcterms:W3CDTF">2018-05-10T14:49:00Z</dcterms:modified>
</cp:coreProperties>
</file>