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2991"/>
        <w:gridCol w:w="1712"/>
        <w:gridCol w:w="1660"/>
        <w:gridCol w:w="896"/>
        <w:gridCol w:w="941"/>
      </w:tblGrid>
      <w:tr w:rsidR="00492E2C" w:rsidRPr="00492E2C" w:rsidTr="007F4242">
        <w:trPr>
          <w:trHeight w:val="529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Josef Kameník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Jan Dušek</w:t>
            </w:r>
          </w:p>
        </w:tc>
      </w:tr>
      <w:tr w:rsidR="00492E2C" w:rsidRPr="00492E2C" w:rsidTr="007F4242">
        <w:trPr>
          <w:trHeight w:val="300"/>
        </w:trPr>
        <w:tc>
          <w:tcPr>
            <w:tcW w:w="15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Magistrát města Karlovy Vary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7F424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202</w:t>
            </w:r>
            <w:r w:rsidR="007F4242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</w:t>
            </w: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/</w:t>
            </w:r>
            <w:r w:rsidR="007F4242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10</w:t>
            </w:r>
          </w:p>
        </w:tc>
      </w:tr>
      <w:tr w:rsidR="00492E2C" w:rsidRPr="00492E2C" w:rsidTr="007F4242">
        <w:trPr>
          <w:trHeight w:val="30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7F4242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J</w:t>
            </w:r>
            <w:r w:rsidR="00492E2C"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SP</w:t>
            </w:r>
          </w:p>
        </w:tc>
      </w:tr>
      <w:tr w:rsidR="00492E2C" w:rsidRPr="00492E2C" w:rsidTr="007F4242">
        <w:trPr>
          <w:trHeight w:val="30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9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492E2C" w:rsidP="007F424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 xml:space="preserve">Karlovy Vary – </w:t>
            </w:r>
            <w:r w:rsidR="007F4242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>Rekonstrukce ulice U Spořitelny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7F424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31.</w:t>
            </w:r>
            <w:r w:rsidR="007F4242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05</w:t>
            </w: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.2022</w:t>
            </w:r>
            <w:proofErr w:type="gramEnd"/>
          </w:p>
        </w:tc>
      </w:tr>
      <w:tr w:rsidR="00492E2C" w:rsidRPr="00492E2C" w:rsidTr="007F4242">
        <w:trPr>
          <w:trHeight w:val="45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492E2C" w:rsidRPr="00492E2C" w:rsidTr="007F4242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Dokumentace ke sloučenému řízení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492E2C" w:rsidRPr="00492E2C" w:rsidTr="007F4242">
        <w:trPr>
          <w:trHeight w:val="414"/>
        </w:trPr>
        <w:tc>
          <w:tcPr>
            <w:tcW w:w="15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  <w:proofErr w:type="gramStart"/>
            <w:r w:rsidRPr="00492E2C"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A</w:t>
            </w:r>
            <w:r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,B</w:t>
            </w:r>
            <w:proofErr w:type="gramEnd"/>
          </w:p>
        </w:tc>
      </w:tr>
      <w:tr w:rsidR="00492E2C" w:rsidRPr="00492E2C" w:rsidTr="007F4242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Průvodní zpráva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a souhrnná technická zpráva</w:t>
            </w:r>
          </w:p>
        </w:tc>
        <w:tc>
          <w:tcPr>
            <w:tcW w:w="17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</w:p>
        </w:tc>
      </w:tr>
    </w:tbl>
    <w:p w:rsidR="00492E2C" w:rsidRPr="000738E1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B13" w:rsidRPr="009C4C8C" w:rsidRDefault="00967B13" w:rsidP="00967B13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A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Průvodní zpráva</w:t>
      </w:r>
      <w:bookmarkStart w:id="0" w:name="_GoBack"/>
      <w:bookmarkEnd w:id="0"/>
    </w:p>
    <w:p w:rsidR="00967B13" w:rsidRPr="009C4C8C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Identifikační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údaje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a)   </w:t>
      </w:r>
      <w:r w:rsidRPr="003A6CA5">
        <w:rPr>
          <w:rFonts w:ascii="Times New Roman" w:hAnsi="Times New Roman" w:cs="Times New Roman"/>
          <w:color w:val="auto"/>
          <w:sz w:val="24"/>
          <w:szCs w:val="24"/>
        </w:rPr>
        <w:t>název</w:t>
      </w:r>
      <w:proofErr w:type="gramEnd"/>
      <w:r w:rsidRPr="003A6CA5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D87945" w:rsidRDefault="00D87945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Karlovy Vary – </w:t>
      </w:r>
      <w:r w:rsidR="007F4242">
        <w:rPr>
          <w:rFonts w:ascii="Times New Roman" w:hAnsi="Times New Roman" w:cs="Times New Roman"/>
          <w:b/>
          <w:i/>
          <w:color w:val="auto"/>
          <w:sz w:val="24"/>
          <w:szCs w:val="24"/>
        </w:rPr>
        <w:t>Rekonstrukce ulice U Spořitelny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b)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místo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974CE2" w:rsidRPr="00BB2C13" w:rsidRDefault="004E0964" w:rsidP="00D8794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je navržena 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v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 místní části </w:t>
      </w:r>
      <w:r w:rsidR="007F4242">
        <w:rPr>
          <w:rFonts w:ascii="Times New Roman" w:hAnsi="Times New Roman" w:cs="Times New Roman"/>
          <w:b/>
          <w:i/>
          <w:color w:val="auto"/>
          <w:sz w:val="24"/>
          <w:szCs w:val="24"/>
        </w:rPr>
        <w:t>Rybáře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 návaznosti na ulici </w:t>
      </w:r>
      <w:r w:rsidR="00042832">
        <w:rPr>
          <w:rFonts w:ascii="Times New Roman" w:hAnsi="Times New Roman" w:cs="Times New Roman"/>
          <w:b/>
          <w:i/>
          <w:color w:val="auto"/>
          <w:sz w:val="24"/>
          <w:szCs w:val="24"/>
        </w:rPr>
        <w:t>Sokolovská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Současně 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>s návrhem nové komunikace</w:t>
      </w:r>
      <w:r w:rsidR="0004283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dojde k regulaci a lepšímu uspořádání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parkovacích stání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Stavba je navržena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v </w:t>
      </w:r>
      <w:proofErr w:type="spellStart"/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Rybáře 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na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parcele 1016. Úpravy chodníků a křižovatky se Sokolovskou pak zasahují na parcely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3, 4/1, 4/2, 5, 6/1, 6/2, 999/1, 999/21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c)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předmět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576FA1" w:rsidRPr="00302DA7" w:rsidRDefault="00914352" w:rsidP="000F267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dokumentace je kompletní rekonstrukce vozovky včetně 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části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chodníků, a to od sanace pláně až po nové konstrukční vrstvy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stavby je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také řešení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dopravy v klidu v této lokalitě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</w:t>
      </w:r>
    </w:p>
    <w:p w:rsidR="00967B13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adresa sídla (právnická osoba). </w:t>
      </w:r>
    </w:p>
    <w:p w:rsidR="00967B13" w:rsidRPr="00CD7942" w:rsidRDefault="00576FA1" w:rsidP="00CD794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Stavebníkem je </w:t>
      </w:r>
      <w:r w:rsidR="00382154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Statutární město Karlovy Vary, IČ:  OO 25 46 57, zastoupené </w:t>
      </w:r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Andreou Pfeffer </w:t>
      </w:r>
      <w:proofErr w:type="spellStart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Ferklovou</w:t>
      </w:r>
      <w:proofErr w:type="spellEnd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, MBA, primátorkou města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</w:t>
      </w:r>
      <w:r>
        <w:rPr>
          <w:rFonts w:ascii="Times New Roman" w:hAnsi="Times New Roman" w:cs="Times New Roman"/>
          <w:color w:val="auto"/>
          <w:sz w:val="24"/>
          <w:szCs w:val="24"/>
        </w:rPr>
        <w:t>adresa sídla (právnická osoba),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Dokumentaci zpracovala firma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DPT projekty Ostrov s.r.o, Klínovecká 1407, 363 01 Ostrov, IČ </w:t>
      </w:r>
      <w:r w:rsidR="00B77182" w:rsidRP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08728097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 inženýr projektu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ing. Jan Dušek</w:t>
      </w: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 w:rsid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AC5821" w:rsidRDefault="00AC5821" w:rsidP="00AC5821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>04/2022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9F6A73" w:rsidRDefault="00756D63" w:rsidP="004E0964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Stavebně technický průzkum vozovky a podloží (sondy a vývrty) –</w:t>
      </w:r>
      <w:r w:rsidR="00B7718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zajistil MM K. Vary, odbor technický</w:t>
      </w:r>
    </w:p>
    <w:p w:rsidR="00B77182" w:rsidRDefault="00000FBB" w:rsidP="004E0964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Protokol o zkoušce dle vyhlášky 130/2019 – znovuzískaná asfaltová směs (hodnota sumy PAU 16)</w:t>
      </w:r>
    </w:p>
    <w:p w:rsidR="00967B13" w:rsidRPr="009C4C8C" w:rsidRDefault="00967B13" w:rsidP="00967B13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A.3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967B13" w:rsidRDefault="00967B13" w:rsidP="00097CA9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967B13" w:rsidRPr="00576FA1" w:rsidRDefault="00576FA1" w:rsidP="00576F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zastavěné území. 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ová dokumentace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řeší pouze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v popsaném rozsahu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dosavadní využití a zastavěnost území,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je běžnou městskou zástavbou, realizací stavby nedojde k zásahu do využití území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nepožívá žádné zvláštní ochrany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Odtokové poměry se stavbou nemění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s cíli a úkoly územního plánování, </w:t>
      </w:r>
    </w:p>
    <w:p w:rsidR="009F6A73" w:rsidRPr="00B87229" w:rsidRDefault="00B87229" w:rsidP="00B87229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je v souladu s územně plánovací dokumentací</w:t>
      </w:r>
    </w:p>
    <w:p w:rsidR="00C347AB" w:rsidRDefault="009F6A73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údaje o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dodržení obecných požadavků na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využití území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502DD1" w:rsidRDefault="003366F3" w:rsidP="004512E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becné požadavky na využití území dané vyhláškou 501/2006 Sb. v platném znění jsou splněny. 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Z hlediska územního plánu se jedná o plochu, evido</w:t>
      </w:r>
      <w:r w:rsidR="00DA7BE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vanou jako </w:t>
      </w:r>
      <w:r w:rsidR="004512E8" w:rsidRPr="004512E8">
        <w:rPr>
          <w:rFonts w:ascii="Times New Roman" w:hAnsi="Times New Roman" w:cs="Times New Roman"/>
          <w:b/>
          <w:i/>
          <w:sz w:val="24"/>
          <w:szCs w:val="24"/>
        </w:rPr>
        <w:t>Plochy občanského vybavení</w:t>
      </w:r>
    </w:p>
    <w:p w:rsidR="00502DD1" w:rsidRPr="004512E8" w:rsidRDefault="00502DD1" w:rsidP="00502DD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512E8">
        <w:rPr>
          <w:rFonts w:ascii="Times New Roman" w:hAnsi="Times New Roman" w:cs="Times New Roman"/>
          <w:b/>
          <w:i/>
          <w:sz w:val="24"/>
          <w:szCs w:val="24"/>
        </w:rPr>
        <w:t>1f.3.3.1 Plochy občanského vybavení - veřejná infrastruktura OV Hlavní využití - stavby, zařízení a plochy sloužící pro veřejné občanské vybavení: vzdělání a výchovu, sociální služby a péči o rodinu, zdravotní služby, kulturu, veřejnou správu, vědu a výzkum, církve a ochranu obyvatelstva Přípustné využití - služební byt správce nebo vlastníka umístěný v rámci stavby hlavní - místní komunikace - pěší cesty - parkoviště pro osobní automobily související s hlavním využitím - související technická infrastruktura - veřejná prostranství a plochy okrasné a rekreační zeleně s prvky drobné architektury a mobiliářem pro relaxaci Podmíněně přípustné využití stavby, zařízení a plochy sloužící pro: - maloobchodní služby - stravovací služby - ubytovací služby - administrativu pokud nesnižují kvalitu prostředí a negativně neovlivní hlavní využití</w:t>
      </w:r>
    </w:p>
    <w:p w:rsidR="00DA7BE0" w:rsidRPr="00502DD1" w:rsidRDefault="00502DD1" w:rsidP="00502DD1">
      <w:pPr>
        <w:tabs>
          <w:tab w:val="left" w:pos="1260"/>
        </w:tabs>
      </w:pPr>
      <w:r>
        <w:tab/>
      </w:r>
      <w:r>
        <w:rPr>
          <w:noProof/>
          <w:lang w:eastAsia="cs-CZ"/>
        </w:rPr>
        <w:drawing>
          <wp:inline distT="0" distB="0" distL="0" distR="0" wp14:anchorId="629B43B5" wp14:editId="79817468">
            <wp:extent cx="3810000" cy="28003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BE0" w:rsidRPr="00021E6E" w:rsidRDefault="00DA7BE0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údaje o splnění požadavků dotčených orgánů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technické řešení </w:t>
      </w:r>
      <w:proofErr w:type="spellStart"/>
      <w:proofErr w:type="gramStart"/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>,</w:t>
      </w:r>
      <w:r w:rsidR="004512E8">
        <w:rPr>
          <w:rFonts w:ascii="Times New Roman" w:hAnsi="Times New Roman" w:cs="Times New Roman"/>
          <w:b/>
          <w:i/>
          <w:color w:val="auto"/>
          <w:sz w:val="24"/>
          <w:szCs w:val="24"/>
        </w:rPr>
        <w:t>úprava</w:t>
      </w:r>
      <w:proofErr w:type="gramEnd"/>
      <w:r w:rsidR="004512E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šířky vozovky a parkování na základě dohody s Policií ČR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9F6A73" w:rsidRDefault="009F6A73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785198" w:rsidRPr="003366F3" w:rsidRDefault="00785198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seznam pozemků a staveb </w:t>
      </w:r>
      <w:r w:rsidR="00531589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dotčených </w:t>
      </w:r>
      <w:proofErr w:type="gramStart"/>
      <w:r w:rsidR="00531589">
        <w:rPr>
          <w:rFonts w:ascii="Times New Roman" w:hAnsi="Times New Roman" w:cs="Times New Roman"/>
          <w:color w:val="auto"/>
          <w:sz w:val="24"/>
          <w:szCs w:val="24"/>
        </w:rPr>
        <w:t>umístěním  a prováděním</w:t>
      </w:r>
      <w:proofErr w:type="gramEnd"/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 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podle katastru nemovitostí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Style w:val="Mkatabulky"/>
        <w:tblW w:w="9539" w:type="dxa"/>
        <w:tblLook w:val="04A0" w:firstRow="1" w:lastRow="0" w:firstColumn="1" w:lastColumn="0" w:noHBand="0" w:noVBand="1"/>
      </w:tblPr>
      <w:tblGrid>
        <w:gridCol w:w="1712"/>
        <w:gridCol w:w="3074"/>
        <w:gridCol w:w="3054"/>
        <w:gridCol w:w="1699"/>
      </w:tblGrid>
      <w:tr w:rsidR="00634C2A" w:rsidRPr="00634C2A" w:rsidTr="00B22818">
        <w:tc>
          <w:tcPr>
            <w:tcW w:w="1712" w:type="dxa"/>
          </w:tcPr>
          <w:p w:rsidR="00634C2A" w:rsidRPr="006E15E7" w:rsidRDefault="00634C2A" w:rsidP="00634C2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3074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054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B87229" w:rsidRPr="00634C2A" w:rsidTr="00B22818">
        <w:tc>
          <w:tcPr>
            <w:tcW w:w="1712" w:type="dxa"/>
          </w:tcPr>
          <w:p w:rsidR="00B87229" w:rsidRPr="006E15E7" w:rsidRDefault="004512E8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1016</w:t>
            </w:r>
          </w:p>
        </w:tc>
        <w:tc>
          <w:tcPr>
            <w:tcW w:w="3074" w:type="dxa"/>
          </w:tcPr>
          <w:p w:rsidR="00B87229" w:rsidRDefault="004512E8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B87229" w:rsidRPr="006E15E7" w:rsidRDefault="004512E8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Pr="006E15E7" w:rsidRDefault="004512E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1562</w:t>
            </w:r>
          </w:p>
        </w:tc>
      </w:tr>
      <w:tr w:rsidR="00B87229" w:rsidRPr="00634C2A" w:rsidTr="00B22818">
        <w:tc>
          <w:tcPr>
            <w:tcW w:w="1712" w:type="dxa"/>
          </w:tcPr>
          <w:p w:rsidR="00B87229" w:rsidRDefault="004512E8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3074" w:type="dxa"/>
          </w:tcPr>
          <w:p w:rsidR="00B87229" w:rsidRDefault="004512E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Jiná plocha</w:t>
            </w:r>
          </w:p>
        </w:tc>
        <w:tc>
          <w:tcPr>
            <w:tcW w:w="3054" w:type="dxa"/>
          </w:tcPr>
          <w:p w:rsidR="00B87229" w:rsidRPr="006E15E7" w:rsidRDefault="004512E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Default="004512E8" w:rsidP="0078519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158</w:t>
            </w:r>
          </w:p>
        </w:tc>
      </w:tr>
      <w:tr w:rsidR="00B87229" w:rsidRPr="00634C2A" w:rsidTr="00B22818">
        <w:tc>
          <w:tcPr>
            <w:tcW w:w="1712" w:type="dxa"/>
          </w:tcPr>
          <w:p w:rsidR="00B87229" w:rsidRDefault="004512E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4/1</w:t>
            </w:r>
          </w:p>
        </w:tc>
        <w:tc>
          <w:tcPr>
            <w:tcW w:w="3074" w:type="dxa"/>
          </w:tcPr>
          <w:p w:rsidR="00B87229" w:rsidRDefault="00B22818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B87229" w:rsidRPr="006E15E7" w:rsidRDefault="00B22818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109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4/2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758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117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6/1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10 570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6/2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232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991/1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18 007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991/21</w:t>
            </w:r>
          </w:p>
        </w:tc>
        <w:tc>
          <w:tcPr>
            <w:tcW w:w="3074" w:type="dxa"/>
          </w:tcPr>
          <w:p w:rsidR="00B22818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B22818" w:rsidRPr="006E15E7" w:rsidRDefault="00B22818" w:rsidP="002A7197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1 259</w:t>
            </w:r>
          </w:p>
        </w:tc>
      </w:tr>
      <w:tr w:rsidR="00B22818" w:rsidRPr="00634C2A" w:rsidTr="00B22818">
        <w:tc>
          <w:tcPr>
            <w:tcW w:w="1712" w:type="dxa"/>
          </w:tcPr>
          <w:p w:rsidR="00B22818" w:rsidRDefault="00B2281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074" w:type="dxa"/>
          </w:tcPr>
          <w:p w:rsidR="00B22818" w:rsidRDefault="00B2281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054" w:type="dxa"/>
          </w:tcPr>
          <w:p w:rsidR="00B22818" w:rsidRDefault="00B2281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</w:tcPr>
          <w:p w:rsidR="00B22818" w:rsidRDefault="00B2281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</w:tr>
    </w:tbl>
    <w:p w:rsidR="00634C2A" w:rsidRDefault="00634C2A" w:rsidP="00922616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</w:t>
      </w:r>
      <w:r w:rsidR="00A2601F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785198">
        <w:rPr>
          <w:rFonts w:ascii="Times New Roman" w:hAnsi="Times New Roman" w:cs="Times New Roman"/>
          <w:b/>
          <w:i/>
          <w:color w:val="auto"/>
          <w:sz w:val="24"/>
          <w:szCs w:val="24"/>
        </w:rPr>
        <w:t>Rybáře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 j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 w:rsidR="0078519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investora, </w:t>
      </w:r>
    </w:p>
    <w:p w:rsidR="00922616" w:rsidRDefault="00922616" w:rsidP="00922616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634C2A" w:rsidRDefault="00634C2A" w:rsidP="00634C2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změnu dokončené stavby</w:t>
      </w: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B22818" w:rsidRDefault="00C347AB" w:rsidP="00B22818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B22818" w:rsidRPr="00B22818" w:rsidRDefault="00B22818" w:rsidP="00B2281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22818">
        <w:rPr>
          <w:rFonts w:ascii="Times New Roman" w:hAnsi="Times New Roman" w:cs="Times New Roman"/>
          <w:b/>
          <w:i/>
          <w:color w:val="auto"/>
          <w:sz w:val="24"/>
          <w:szCs w:val="24"/>
        </w:rPr>
        <w:t>Účelem užívání je náprava nevyhovujícího stavebně technického stavu komunikace a chodníků</w:t>
      </w:r>
      <w:r w:rsidR="00246FF3">
        <w:rPr>
          <w:rFonts w:ascii="Times New Roman" w:hAnsi="Times New Roman" w:cs="Times New Roman"/>
          <w:b/>
          <w:i/>
          <w:color w:val="auto"/>
          <w:sz w:val="24"/>
          <w:szCs w:val="24"/>
        </w:rPr>
        <w:t>, dále pak náprava chaotického parkování – toto není nijak regulováno</w:t>
      </w:r>
      <w:r w:rsidR="0082337F">
        <w:rPr>
          <w:rFonts w:ascii="Times New Roman" w:hAnsi="Times New Roman" w:cs="Times New Roman"/>
          <w:b/>
          <w:i/>
          <w:color w:val="auto"/>
          <w:sz w:val="24"/>
          <w:szCs w:val="24"/>
        </w:rPr>
        <w:t>. Parkování vozidel na chodníku prakticky znemožňuje jeho užívání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ochraně stavby (kulturní památka apod.),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F1EF2" w:rsidRDefault="0053158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CF1EF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F40428" w:rsidRDefault="0089659D" w:rsidP="00E15B0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9659D">
        <w:rPr>
          <w:rFonts w:ascii="Times New Roman" w:hAnsi="Times New Roman" w:cs="Times New Roman"/>
          <w:b/>
          <w:i/>
          <w:color w:val="auto"/>
          <w:sz w:val="24"/>
          <w:szCs w:val="24"/>
        </w:rPr>
        <w:t>Dokumentace respektuje Vyhlášku č. 268/2009  Sb. o technických požadavcích na stavby</w:t>
      </w:r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St</w:t>
      </w:r>
      <w:r w:rsid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vba je řešena v souladu s pl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tnou legislativou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, zejména pak vyhláškou 398/2009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 obecných technických požadavcích zabezpečujících bezbariérové užívání staveb. U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míst pro přecházení a u vjezdů budou provedeny varovné pásy šířky 400 mm z reliéfní dlažby 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kontrastní barvy oproti barvě povrchu chodníku. 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 míst pro přecházení bude obrubník zapuštěn a převýšení bude +20 mm. </w:t>
      </w:r>
    </w:p>
    <w:p w:rsidR="0082337F" w:rsidRPr="00E15B01" w:rsidRDefault="0082337F" w:rsidP="00E15B0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833FB" w:rsidRDefault="006833FB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17F09" w:rsidRDefault="0089659D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3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splnění požadavků dotčených </w:t>
      </w:r>
      <w:proofErr w:type="gramStart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orgánů  a požadavků</w:t>
      </w:r>
      <w:proofErr w:type="gramEnd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, vyplývajících z jiných právních předpisů</w:t>
      </w:r>
    </w:p>
    <w:p w:rsidR="00F90080" w:rsidRPr="003366F3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A2601F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 stavby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), </w:t>
      </w:r>
      <w:r w:rsidR="0082337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šířka vozovky a návrh parkování dle dohody s Policií ČR </w:t>
      </w:r>
      <w:proofErr w:type="spellStart"/>
      <w:r w:rsidR="0082337F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</w:p>
    <w:p w:rsidR="00B17F09" w:rsidRDefault="00B17F0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840048" w:rsidRPr="00840048" w:rsidRDefault="00840048" w:rsidP="008400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40048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82337F" w:rsidRPr="009075BD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>Živičná vozovka     .……</w:t>
      </w:r>
      <w:proofErr w:type="gramStart"/>
      <w:r w:rsidRPr="009075BD">
        <w:t>…..…</w:t>
      </w:r>
      <w:proofErr w:type="gramEnd"/>
      <w:r w:rsidRPr="009075BD">
        <w:t>.…………………………………………</w:t>
      </w:r>
      <w:r w:rsidRPr="009075BD">
        <w:tab/>
      </w:r>
      <w:r w:rsidRPr="009075BD">
        <w:tab/>
        <w:t>1 070 m</w:t>
      </w:r>
      <w:r w:rsidRPr="0082337F">
        <w:rPr>
          <w:vertAlign w:val="superscript"/>
        </w:rPr>
        <w:t>2</w:t>
      </w:r>
      <w:r w:rsidRPr="009075BD">
        <w:t xml:space="preserve"> </w:t>
      </w:r>
    </w:p>
    <w:p w:rsidR="0082337F" w:rsidRPr="009075BD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 xml:space="preserve">Štěrková vozovka – napojení na stávající </w:t>
      </w:r>
      <w:proofErr w:type="gramStart"/>
      <w:r w:rsidRPr="009075BD">
        <w:t>stav     …</w:t>
      </w:r>
      <w:proofErr w:type="gramEnd"/>
      <w:r w:rsidRPr="009075BD">
        <w:t>…………………….</w:t>
      </w:r>
      <w:r w:rsidRPr="009075BD">
        <w:tab/>
        <w:t xml:space="preserve">     15 m</w:t>
      </w:r>
      <w:r w:rsidRPr="0082337F">
        <w:t>2</w:t>
      </w:r>
      <w:r w:rsidRPr="009075BD">
        <w:t xml:space="preserve"> </w:t>
      </w:r>
    </w:p>
    <w:p w:rsidR="0082337F" w:rsidRPr="009075BD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>Chodník – asfalt     ………………………</w:t>
      </w:r>
      <w:proofErr w:type="gramStart"/>
      <w:r w:rsidRPr="009075BD">
        <w:t>…...…</w:t>
      </w:r>
      <w:proofErr w:type="gramEnd"/>
      <w:r w:rsidRPr="009075BD">
        <w:t>……………………….</w:t>
      </w:r>
      <w:r w:rsidRPr="009075BD">
        <w:tab/>
      </w:r>
      <w:r w:rsidRPr="009075BD">
        <w:tab/>
        <w:t xml:space="preserve">   330 m</w:t>
      </w:r>
      <w:r w:rsidRPr="0082337F">
        <w:t>2</w:t>
      </w:r>
      <w:r w:rsidRPr="009075BD">
        <w:t xml:space="preserve"> </w:t>
      </w:r>
    </w:p>
    <w:p w:rsidR="0082337F" w:rsidRPr="009075BD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 xml:space="preserve">Chodníkový </w:t>
      </w:r>
      <w:proofErr w:type="gramStart"/>
      <w:r w:rsidRPr="009075BD">
        <w:t>přejezd     …</w:t>
      </w:r>
      <w:proofErr w:type="gramEnd"/>
      <w:r w:rsidRPr="009075BD">
        <w:t>……………………………………………….</w:t>
      </w:r>
      <w:r w:rsidRPr="009075BD">
        <w:tab/>
      </w:r>
      <w:r>
        <w:tab/>
        <w:t xml:space="preserve">     20 m</w:t>
      </w:r>
      <w:r w:rsidRPr="0082337F">
        <w:t>2</w:t>
      </w:r>
      <w:r>
        <w:t xml:space="preserve"> </w:t>
      </w:r>
    </w:p>
    <w:p w:rsidR="0082337F" w:rsidRPr="009075BD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 xml:space="preserve">Chodník – reliéfní dlažba </w:t>
      </w:r>
      <w:proofErr w:type="spellStart"/>
      <w:r w:rsidRPr="009075BD">
        <w:t>tl</w:t>
      </w:r>
      <w:proofErr w:type="spellEnd"/>
      <w:r w:rsidRPr="009075BD">
        <w:t xml:space="preserve">. 60 </w:t>
      </w:r>
      <w:proofErr w:type="gramStart"/>
      <w:r w:rsidRPr="009075BD">
        <w:t>mm     …</w:t>
      </w:r>
      <w:proofErr w:type="gramEnd"/>
      <w:r w:rsidRPr="009075BD">
        <w:t>…………………………</w:t>
      </w:r>
      <w:r w:rsidR="00286680">
        <w:t>…….</w:t>
      </w:r>
      <w:r w:rsidR="00286680">
        <w:tab/>
        <w:t xml:space="preserve">   </w:t>
      </w:r>
      <w:r w:rsidRPr="009075BD">
        <w:t xml:space="preserve">    6 m</w:t>
      </w:r>
      <w:r w:rsidRPr="0082337F">
        <w:t>2</w:t>
      </w:r>
      <w:r w:rsidRPr="009075BD">
        <w:t xml:space="preserve"> </w:t>
      </w:r>
    </w:p>
    <w:p w:rsidR="0082337F" w:rsidRDefault="0082337F" w:rsidP="0082337F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9075BD">
        <w:t xml:space="preserve">Chodník – reliéfní dlažba </w:t>
      </w:r>
      <w:proofErr w:type="spellStart"/>
      <w:r w:rsidRPr="009075BD">
        <w:t>tl</w:t>
      </w:r>
      <w:proofErr w:type="spellEnd"/>
      <w:r w:rsidRPr="009075BD">
        <w:t xml:space="preserve">. </w:t>
      </w:r>
      <w:r>
        <w:t>8</w:t>
      </w:r>
      <w:r w:rsidRPr="009075BD">
        <w:t xml:space="preserve">0 </w:t>
      </w:r>
      <w:proofErr w:type="gramStart"/>
      <w:r w:rsidRPr="009075BD">
        <w:t>mm     …</w:t>
      </w:r>
      <w:proofErr w:type="gramEnd"/>
      <w:r w:rsidRPr="009075BD">
        <w:t>……………………………….</w:t>
      </w:r>
      <w:r w:rsidRPr="009075BD">
        <w:tab/>
        <w:t xml:space="preserve">       </w:t>
      </w:r>
      <w:r>
        <w:t>4</w:t>
      </w:r>
      <w:r w:rsidRPr="009075BD">
        <w:t xml:space="preserve"> m</w:t>
      </w:r>
      <w:r w:rsidRPr="0082337F">
        <w:t>2</w:t>
      </w:r>
      <w:r w:rsidRPr="009075BD">
        <w:t xml:space="preserve"> </w:t>
      </w:r>
    </w:p>
    <w:p w:rsidR="00286680" w:rsidRPr="00877C8E" w:rsidRDefault="00286680" w:rsidP="00286680">
      <w:pPr>
        <w:pStyle w:val="Odstavecseseznamem"/>
        <w:numPr>
          <w:ilvl w:val="0"/>
          <w:numId w:val="19"/>
        </w:numPr>
        <w:tabs>
          <w:tab w:val="clear" w:pos="2513"/>
          <w:tab w:val="num" w:pos="0"/>
        </w:tabs>
        <w:ind w:left="1134" w:hanging="284"/>
        <w:jc w:val="both"/>
      </w:pPr>
      <w:r w:rsidRPr="00877C8E">
        <w:t>Uliční vpusti     ……………………………………………………</w:t>
      </w:r>
      <w:proofErr w:type="gramStart"/>
      <w:r w:rsidRPr="00877C8E">
        <w:t>…</w:t>
      </w:r>
      <w:r>
        <w:t>.</w:t>
      </w:r>
      <w:r w:rsidRPr="00877C8E">
        <w:t>.</w:t>
      </w:r>
      <w:r w:rsidRPr="00877C8E">
        <w:tab/>
      </w:r>
      <w:r w:rsidRPr="00877C8E">
        <w:tab/>
        <w:t xml:space="preserve">       5 ks</w:t>
      </w:r>
      <w:proofErr w:type="gramEnd"/>
      <w:r w:rsidRPr="00877C8E">
        <w:t xml:space="preserve"> </w:t>
      </w:r>
    </w:p>
    <w:p w:rsidR="00286680" w:rsidRPr="009075BD" w:rsidRDefault="00286680" w:rsidP="00286680">
      <w:pPr>
        <w:pStyle w:val="Odstavecseseznamem"/>
        <w:ind w:left="1134"/>
        <w:jc w:val="both"/>
      </w:pPr>
    </w:p>
    <w:p w:rsidR="007D0BB9" w:rsidRPr="006833FB" w:rsidRDefault="007D0BB9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89659D" w:rsidRPr="0089659D" w:rsidRDefault="007D0BB9" w:rsidP="0089659D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vyžaduje pouze el.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energii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provoz veřejného osvětlení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stejně jako dnes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. Odpady produkuje pouze běžné městské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(smetky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základní předpoklady výstavby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časové údaje o realizaci stavby, etapizace),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Časové údaje o realizaci výstavby nejsou v době zpracování PD známy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EF30F0" w:rsidRPr="00EF30F0" w:rsidRDefault="0028668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6</w:t>
      </w:r>
      <w:r w:rsidR="00EF30F0"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</w:p>
    <w:p w:rsidR="00C347AB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137780" w:rsidRDefault="0013778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347AB" w:rsidRPr="009C4C8C" w:rsidRDefault="00C347AB" w:rsidP="00C347AB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B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Souhrnná technická zpráva</w:t>
      </w:r>
    </w:p>
    <w:p w:rsidR="00C347AB" w:rsidRPr="009C4C8C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území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charakteristika stavebního pozemku,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Ulice je obousměrná s šířkou komunikace cca 5,0 – 7,5 m a s chodníkem šířky cca 2,5 m. Na vozovce a na chodníku parkují obousměrně osobní automobily, takže volný průjezd je široký </w:t>
      </w: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 xml:space="preserve">3,5 – 4,0 m a po chodníku se podél budovy magistrátu téměř nedá projít. 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V horní části ulice jsou garáže, před nimiž jsou betonové, panelové, asfaltové nebo kamenivem zpevněné plochy. Dále jsou v této části vzrostlé stromy, které jsou místy v chodníku, místy ve vozovce. Jejich kořeny zasahují do inženýrských sítí a narušují povrch vozovky, chodníku a osazení obrubníků. 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Stávající povrch komunikace je ze žulových kostek, které jsou překryty vrstvou asfaltového betonu. Kostky jsou však na mnoha místech obnaženy. Povrch je značně popraskaný s velkými nerovnostmi, na vozovce jsou výtluky. Současný stav je nevyhovující především z hlediska funkčního. 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Podél komunikace a stávající zástavby je chodník s asfaltovým povrchem, v horní části je povrch z kameniva. Je ohraničen kamennými obrubníky, jejichž současná poloha ve směrovém i výškovém vedení je značně nerovná. Stejně tak povrch chodníku je popraskaný s mnohými nerovnostmi. Podél budovy magistrátu města jsou místy anglické dvorky. V chodníku jsou dále podél budovy umístěny lapače střešních splavenin (</w:t>
      </w:r>
      <w:proofErr w:type="spellStart"/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>geigery</w:t>
      </w:r>
      <w:proofErr w:type="spellEnd"/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). 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Stávající komunikace prakticky nemá uliční vpusti. Je </w:t>
      </w:r>
      <w:proofErr w:type="spellStart"/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>vyspádována</w:t>
      </w:r>
      <w:proofErr w:type="spellEnd"/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až k ulici Sokolovská, kde je povrchová voda svedena do uličních vpustí.  </w:t>
      </w:r>
    </w:p>
    <w:p w:rsidR="00286680" w:rsidRPr="00286680" w:rsidRDefault="00286680" w:rsidP="002866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Pod komunikacemi se nachází značné množství inženýrských sítí!  </w:t>
      </w:r>
    </w:p>
    <w:p w:rsidR="00C347AB" w:rsidRDefault="00F90080" w:rsidP="000F2D0C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0F2D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výčet a závěry provedených průzkumů a rozborů,</w:t>
      </w:r>
    </w:p>
    <w:p w:rsidR="00286680" w:rsidRDefault="00286680" w:rsidP="00286680">
      <w:pPr>
        <w:pStyle w:val="499textodrazeny"/>
        <w:numPr>
          <w:ilvl w:val="0"/>
          <w:numId w:val="20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04/2022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286680" w:rsidRDefault="00286680" w:rsidP="00286680">
      <w:pPr>
        <w:pStyle w:val="499textodrazeny"/>
        <w:numPr>
          <w:ilvl w:val="0"/>
          <w:numId w:val="20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286680" w:rsidRDefault="00286680" w:rsidP="00286680">
      <w:pPr>
        <w:pStyle w:val="499textodrazeny"/>
        <w:numPr>
          <w:ilvl w:val="0"/>
          <w:numId w:val="20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Stavebně technický průzkum vozovky a podloží (sondy a vývrty) – zajistil MM K. Vary, odbor technický</w:t>
      </w:r>
    </w:p>
    <w:p w:rsidR="00286680" w:rsidRDefault="00286680" w:rsidP="00286680">
      <w:pPr>
        <w:pStyle w:val="499textodrazeny"/>
        <w:numPr>
          <w:ilvl w:val="0"/>
          <w:numId w:val="20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Protokol o zkoušce dle vyhlášky 130/2019 – znovuzískaná asfaltová směs (hodnota sumy PAU 16)</w:t>
      </w:r>
    </w:p>
    <w:p w:rsidR="00305F55" w:rsidRDefault="00305F55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Závěry ze stavebně technického průzkumu:</w:t>
      </w:r>
    </w:p>
    <w:p w:rsidR="00E419F9" w:rsidRDefault="00E419F9" w:rsidP="00E419F9">
      <w:pPr>
        <w:pStyle w:val="499textodrazeny"/>
        <w:numPr>
          <w:ilvl w:val="0"/>
          <w:numId w:val="1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Zeminy </w:t>
      </w:r>
      <w:r w:rsidR="00286680">
        <w:rPr>
          <w:rFonts w:ascii="Times New Roman" w:hAnsi="Times New Roman" w:cs="Times New Roman"/>
          <w:b/>
          <w:i/>
          <w:color w:val="auto"/>
          <w:sz w:val="24"/>
          <w:szCs w:val="24"/>
        </w:rPr>
        <w:t>jsou značně rozdílné, a to zejména na záhozy po výkopech inženýrských sítí</w:t>
      </w:r>
    </w:p>
    <w:p w:rsidR="00E419F9" w:rsidRDefault="00E419F9" w:rsidP="00E419F9">
      <w:pPr>
        <w:pStyle w:val="499textodrazeny"/>
        <w:numPr>
          <w:ilvl w:val="0"/>
          <w:numId w:val="1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Asfaltová směs obsahuje méně než 3,2 mg/kg sušiny PAU a je zařazena do kvalitativní třídy ZAS-T1</w:t>
      </w:r>
    </w:p>
    <w:p w:rsidR="00E419F9" w:rsidRDefault="00E419F9" w:rsidP="00E419F9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286680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6B54C985" wp14:editId="11E5DA8A">
            <wp:extent cx="5760720" cy="81421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E419F9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Skladba stávajících konstrukcí byla ověřena sondami</w:t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286680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drawing>
          <wp:inline distT="0" distB="0" distL="0" distR="0">
            <wp:extent cx="5760720" cy="2657612"/>
            <wp:effectExtent l="0" t="0" r="0" b="9525"/>
            <wp:docPr id="7" name="Obrázek 7" descr="V:\DJ\! DPT\KV U Spořitelny\studie\KV U Spořitelny\přílohy\IMG-20201218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:\DJ\! DPT\KV U Spořitelny\studie\KV U Spořitelny\přílohy\IMG-20201218-WA001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9F9" w:rsidRDefault="00286680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lastRenderedPageBreak/>
        <w:drawing>
          <wp:inline distT="0" distB="0" distL="0" distR="0">
            <wp:extent cx="5760720" cy="12643556"/>
            <wp:effectExtent l="0" t="0" r="0" b="5715"/>
            <wp:docPr id="8" name="Obrázek 8" descr="V:\DJ\! DPT\KV U Spořitelny\studie\KV U Spořitelny\přílohy\IMG-20201221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:\DJ\! DPT\KV U Spořitelny\studie\KV U Spořitelny\přílohy\IMG-20201221-WA001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6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AB" w:rsidRDefault="00B17F09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stávající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ochranná a bezpečnostní pásma,</w:t>
      </w:r>
    </w:p>
    <w:p w:rsid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Jsou tvořena inženýrskými sítěmi</w:t>
      </w:r>
    </w:p>
    <w:p w:rsidR="00E876AA" w:rsidRPr="00D80000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Ochranná </w:t>
      </w:r>
      <w:proofErr w:type="gramStart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pásma   sítí</w:t>
      </w:r>
      <w:proofErr w:type="gramEnd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Podzemní vedení  </w:t>
      </w:r>
      <w:proofErr w:type="spell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nn</w:t>
      </w:r>
      <w:proofErr w:type="spell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VO, sděl. </w:t>
      </w: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1m </w:t>
      </w:r>
    </w:p>
    <w:p w:rsidR="00E876AA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Vodovody a kanalizace do průměru 500mm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1,5m</w:t>
      </w:r>
    </w:p>
    <w:p w:rsidR="00104137" w:rsidRPr="00B47761" w:rsidRDefault="00104137" w:rsidP="00104137">
      <w:pPr>
        <w:pStyle w:val="499textodrazeny"/>
        <w:ind w:left="0" w:firstLine="708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R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ozvodné tepelné zařízení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OP – 2,5 m</w:t>
      </w:r>
    </w:p>
    <w:p w:rsidR="00104137" w:rsidRDefault="00104137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Při  činnostech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ve výše uvedených ochranných pásmech je nutno se řídit podmínkami a pokyny jejich správců.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zároveň respekt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uje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ochranná pásma okolo vzrostlých stromů – 2,5 metru od hrany stromu</w:t>
      </w:r>
      <w:r w:rsidR="000F2D0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tak, kde je to možné</w:t>
      </w:r>
    </w:p>
    <w:p w:rsidR="00E876AA" w:rsidRPr="00077129" w:rsidRDefault="00E876AA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poloha vzhledem k záplavovému území, poddolovanému území apod.,</w:t>
      </w:r>
    </w:p>
    <w:p w:rsidR="00077129" w:rsidRP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vliv stavby na okolní stavby a pozemky, ochrana okolí,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vliv stavby na odtokové poměry v</w:t>
      </w:r>
      <w:r w:rsidR="00836E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území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</w:t>
      </w: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ato stavba má vliv na okolní pozemky a stavby – 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během stavby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bude výrazně omezen vjezd do </w:t>
      </w:r>
      <w:r w:rsidR="000F2D0C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přístup do jednotlivých objektů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požadavky na asanace, demolice, kácení zeleně,</w:t>
      </w:r>
    </w:p>
    <w:p w:rsidR="00AC6C65" w:rsidRDefault="00E876AA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5A6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předpokládá tyto úpravy stavebního pozemku: odstranění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komunikací, chodníků, betonových prvků (obrubníky </w:t>
      </w:r>
      <w:proofErr w:type="spellStart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Veškeré stromy v této komunikaci </w:t>
      </w:r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- 11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vzrostlý</w:t>
      </w:r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ch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strom</w:t>
      </w:r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ů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místě </w:t>
      </w:r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chodníků a nájezdů do garáží. Rozsah kácení byl dohodnut se zástupci odboru ŽP a Správou lázeňských parků. Zároveň bylo dohodnuto, že strom u odbočky k bytovým domům (u nádob na tříděný odpad) bude zachován a projektové řešení bude respektovat ochranné pásmo </w:t>
      </w:r>
    </w:p>
    <w:p w:rsidR="00C347AB" w:rsidRDefault="00C347AB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zábory zemědělského, lesního, půdního fondu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dočasné 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nebo pozemků, určených k plnění funkce lesa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územně technické podmínky (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zejména možnost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napojení na dopravní a technickou infrastrukturu),</w:t>
      </w:r>
    </w:p>
    <w:p w:rsidR="00104137" w:rsidRDefault="00836E9A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Na dopravní inf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rastrukturu je stavba napojena pouze v případě veřejného osvětlení 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 odvodnění komunikací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– na stávající rozvod</w:t>
      </w:r>
    </w:p>
    <w:p w:rsidR="00C347AB" w:rsidRDefault="00104137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1041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věcné a časové vazby stavby, podmiňující, vyvolané, související investice.</w:t>
      </w:r>
    </w:p>
    <w:p w:rsidR="00836E9A" w:rsidRPr="00177F8C" w:rsidRDefault="00104137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popis stavby</w:t>
      </w:r>
    </w:p>
    <w:p w:rsidR="00C347AB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Účel užívání stavby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, základní kapacity funkčních jednotek</w:t>
      </w:r>
    </w:p>
    <w:p w:rsidR="00C347AB" w:rsidRPr="009C4C8C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Celkové, urbanistické, architektonické řešení</w:t>
      </w:r>
    </w:p>
    <w:p w:rsidR="00104137" w:rsidRPr="00104137" w:rsidRDefault="00943A09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 provozní řešení, technologie výroby</w:t>
      </w:r>
    </w:p>
    <w:p w:rsidR="00FD3D30" w:rsidRPr="0090440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0440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B.2.4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Bezbariérov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užívání stavby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Projektová dokumentace řeší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stavbu </w:t>
      </w:r>
      <w:r w:rsid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 platnou legislativou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B.2.5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Bezpečnost při užívání stavby</w:t>
      </w:r>
      <w:r>
        <w:rPr>
          <w:rFonts w:ascii="Times New Roman" w:hAnsi="Times New Roman" w:cs="Times New Roman"/>
          <w:color w:val="auto"/>
          <w:sz w:val="24"/>
          <w:szCs w:val="24"/>
        </w:rPr>
        <w:t>¨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B.2.6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charakteristiky objektů</w:t>
      </w:r>
    </w:p>
    <w:p w:rsidR="00FD3D30" w:rsidRPr="004D29F8" w:rsidRDefault="006906B1" w:rsidP="00FD3D30">
      <w:pPr>
        <w:pStyle w:val="499textodrazeny"/>
        <w:numPr>
          <w:ilvl w:val="0"/>
          <w:numId w:val="13"/>
        </w:numPr>
        <w:tabs>
          <w:tab w:val="left" w:pos="900"/>
        </w:tabs>
        <w:jc w:val="both"/>
      </w:pP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B.2.7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charakteristika technických zařízení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B3 a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spacing w:before="6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B.2.9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hospodaření s energiemi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B.2.10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Hygienické požadavky na stavby, požadavky na pracovní a komunální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stavby před negativními účinky vnějšího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technickou infrastrukturu</w:t>
      </w:r>
    </w:p>
    <w:p w:rsidR="00D436EB" w:rsidRPr="00CE02A1" w:rsidRDefault="00D436EB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proofErr w:type="spellStart"/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Zústává</w:t>
      </w:r>
      <w:proofErr w:type="spellEnd"/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stávající</w:t>
      </w:r>
    </w:p>
    <w:p w:rsidR="00B54E9E" w:rsidRDefault="00B54E9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922616" w:rsidRPr="009C4C8C" w:rsidRDefault="00922616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řešení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Nová komunikace je navržena jako obousměrná šířky 3,50 m, délka úpravy je 155,00 m. Po obou stranách komunikace jsou navržena podélná parkovací stání. V km 0,050 je navrženo místo pro vyhýbání automobilů – další možnost vyhýbání je pak od km 0,100 až ke konci úpravy v prostoru před garážemi. 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V rámci oprav bude vybourán stávající kryt vozovky – předpokládaná tloušťka asfaltového betonu je cca 70 mm, velikost kostek cca 100/100/100 mm. Vybourány budou i kamenné obrubníky a povrch chodníku – předpokládaná tloušťka asfaltového krytu je cca 50 mm. Vše bude odvezeno na skládku určenou investorem.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Po jejich vybourání se provedou celé nové konstrukce vozovky i chodníku, obě budou s asfaltovým povrchem. Komunikace bude z obou stran ohraničena kamennými obrubníky 200/250/1000 mm s převýšením nad vozovkou +100 mm. V místech nájezdů do garáží a u napojení stávající cesty se obrubníky zapustí na +50 mm nad povrch nové vozovky, v prostoru místa pro přecházení bude obrubník snížen na +20 mm. U chodníku se v místě snížení obrubníků provede varovný pás šířky 400 mm z reliéfní dlažby kontrastní barvy. Niveleta komunikace je navržena přibližně v úrovni komunikace stávající.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Položení reliéfní dlažby: povrch chodníku z asfaltového beton se provede vcelku. Následně budou vyříznuty plochy pro slepecké pásy a do nich se reliéfní dlažba osadí. Spáry mezi asfaltovým betonem a dlažbou se opatří asfaltovou zálivkou. 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Před garážemi je mezi obrubníkem a stávajícími zpevněnými plochami navržen přechodový pás, kterým se vyrovná výškový rozdíl mezi těmito plochami a novou komunikací. Před trafostanicí bude tento přechodový pás částečně i z kameniva.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ab/>
        <w:t xml:space="preserve">Výška chodníku podél budovy magistrátu se provede rovněž ve výšce chodníku stávajícího. Budou tak respektovány stávající úrovně vjezdu, vstupu a anglických dvorků. Podél budovy se osadí betonové obrubníky 50/200/500 mm zapuštěné na celou výšku, aby se umožnila snazší pokládka a hutnění asfaltového povrchu. Alternativně je možné je nahradit dlažbou. </w:t>
      </w:r>
    </w:p>
    <w:p w:rsidR="00AC6C65" w:rsidRPr="00AC6C65" w:rsidRDefault="00AC6C65" w:rsidP="00AC6C65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Mezi chodníkem a nezpevněnými plochami se osadí betonové obrubníky 80/250/500 mm s převýšením +60 mm nad povrchem chodníku. </w:t>
      </w:r>
    </w:p>
    <w:p w:rsidR="00D436EB" w:rsidRPr="000F36B5" w:rsidRDefault="00D436EB" w:rsidP="00D436EB">
      <w:pPr>
        <w:jc w:val="both"/>
      </w:pPr>
    </w:p>
    <w:p w:rsidR="00D436EB" w:rsidRPr="008232DF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vozovky komunikace: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asfaltový beton </w:t>
      </w: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střednězrnný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ACO 11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40 mm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spojovací emulzní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PS-E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0,5 kg/m2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obalované kamenivo </w:t>
      </w: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střednězrnné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ACP 16+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60 mm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infiltrační asfaltový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PI-A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1,5 kg/m2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mechanicky zpevněné kamenivo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MZK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150 mm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ŠDmin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. B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200 mm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geotextilie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GEOLON PP 40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celkem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450 mm</w:t>
      </w:r>
    </w:p>
    <w:p w:rsidR="00D436EB" w:rsidRPr="008232DF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asfaltového chodníku: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asfaltový beton jemnozrnný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ACO 8CH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40 mm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infiltrační asfaltový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PI EK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1,0 kg/m2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R – materiál živičný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R-mat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13108-8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60 mm</w:t>
      </w:r>
    </w:p>
    <w:p w:rsidR="00D436EB" w:rsidRDefault="00D436EB" w:rsidP="00A517D0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ŠD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150 mm </w:t>
      </w:r>
    </w:p>
    <w:p w:rsidR="00D436EB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celkem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250 mm </w:t>
      </w:r>
    </w:p>
    <w:p w:rsidR="00A517D0" w:rsidRPr="00A517D0" w:rsidRDefault="00A517D0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436EB" w:rsidRPr="00DA18EC" w:rsidRDefault="00D436EB" w:rsidP="00D436EB">
      <w:pPr>
        <w:jc w:val="both"/>
      </w:pP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štěrkové přechodové plochy před trafostanicí: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lomové </w:t>
      </w: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výsivky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zaválcovat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50 mm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vibrovaný štěrk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ŠV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250 mm </w:t>
      </w:r>
    </w:p>
    <w:p w:rsidR="00AC6C65" w:rsidRPr="00AC6C65" w:rsidRDefault="00AC6C65" w:rsidP="00AC6C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ŠD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ČSN EN 13242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150 mm</w:t>
      </w: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F57E3C" w:rsidRDefault="00AC6C65" w:rsidP="00F57E3C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>geotextilie</w:t>
      </w:r>
      <w:proofErr w:type="spellEnd"/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GEOLON PP 40</w:t>
      </w:r>
    </w:p>
    <w:p w:rsidR="00F57E3C" w:rsidRDefault="00AC6C65" w:rsidP="00F57E3C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C6C6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57E3C" w:rsidRDefault="00F57E3C" w:rsidP="00F57E3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>celkem</w:t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F57E3C">
        <w:rPr>
          <w:rFonts w:ascii="Times New Roman" w:hAnsi="Times New Roman" w:cs="Times New Roman"/>
          <w:b/>
          <w:i/>
          <w:color w:val="auto"/>
          <w:sz w:val="24"/>
          <w:szCs w:val="24"/>
        </w:rPr>
        <w:t>450 mm</w:t>
      </w:r>
    </w:p>
    <w:p w:rsidR="00F57E3C" w:rsidRDefault="00F57E3C" w:rsidP="00F57E3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57E3C" w:rsidRPr="00F57E3C" w:rsidRDefault="00F57E3C" w:rsidP="00F57E3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Řešení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vegetace a souvisejících terénních úprav</w:t>
      </w:r>
    </w:p>
    <w:p w:rsidR="00097CA9" w:rsidRPr="00BB49E8" w:rsidRDefault="00677365" w:rsidP="00677365">
      <w:pPr>
        <w:jc w:val="both"/>
        <w:outlineLvl w:val="0"/>
        <w:rPr>
          <w:rFonts w:ascii="Arial Narrow" w:hAnsi="Arial Narrow" w:cs="Arial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Stavba neřeší výsadbu nových stromů. 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 xml:space="preserve">Se zástupci MM K. Vary, </w:t>
      </w:r>
      <w:proofErr w:type="spellStart"/>
      <w:r w:rsidR="00F57E3C">
        <w:rPr>
          <w:rFonts w:ascii="Times New Roman" w:hAnsi="Times New Roman" w:cs="Times New Roman"/>
          <w:b/>
          <w:i/>
          <w:sz w:val="24"/>
          <w:szCs w:val="24"/>
        </w:rPr>
        <w:t>odb</w:t>
      </w:r>
      <w:proofErr w:type="spellEnd"/>
      <w:r w:rsidR="00F57E3C">
        <w:rPr>
          <w:rFonts w:ascii="Times New Roman" w:hAnsi="Times New Roman" w:cs="Times New Roman"/>
          <w:b/>
          <w:i/>
          <w:sz w:val="24"/>
          <w:szCs w:val="24"/>
        </w:rPr>
        <w:t>. ŽP a SLP bylo dohodnuto, že náhradní výsadbu zajistí investor v blízkém parčíku na základě samostatné projektové dokumentace</w:t>
      </w: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vlivů stavby na životní prostředí a ochrana zvláštních zájmů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obyvatelstva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organizace výstavby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potřeby a spotřeby rozhodujících médií a hmot, jejich zajištění,</w:t>
      </w:r>
    </w:p>
    <w:p w:rsidR="00FD3D30" w:rsidRPr="009C4C8C" w:rsidRDefault="00FD3D30" w:rsidP="00FD3D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Stavba bude vyžadovat pouze běžné materiály, používané při rekonstrukcích komunikací – </w:t>
      </w:r>
      <w:proofErr w:type="spellStart"/>
      <w:r w:rsidRPr="00F74E20">
        <w:rPr>
          <w:rFonts w:ascii="Times New Roman" w:hAnsi="Times New Roman" w:cs="Times New Roman"/>
          <w:b/>
          <w:i/>
          <w:sz w:val="24"/>
          <w:szCs w:val="24"/>
        </w:rPr>
        <w:t>štěrkodrtě</w:t>
      </w:r>
      <w:proofErr w:type="spellEnd"/>
      <w:r w:rsidRPr="00F74E20">
        <w:rPr>
          <w:rFonts w:ascii="Times New Roman" w:hAnsi="Times New Roman" w:cs="Times New Roman"/>
          <w:b/>
          <w:i/>
          <w:sz w:val="24"/>
          <w:szCs w:val="24"/>
        </w:rPr>
        <w:t>, štěrky, písky, živičné směsi</w:t>
      </w:r>
      <w:r w:rsidR="00A517D0">
        <w:rPr>
          <w:rFonts w:ascii="Times New Roman" w:hAnsi="Times New Roman" w:cs="Times New Roman"/>
          <w:b/>
          <w:i/>
          <w:sz w:val="24"/>
          <w:szCs w:val="24"/>
        </w:rPr>
        <w:t>, betonové dlažby a obrubníky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 – jejich zajištění je běžné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>. Deponování přímo na staveništi ale není možné z důvodu absence volných ploch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odvodnění staveniště,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Staveniště bude odvodněno nově budovanými dešťovými kanalizacemi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napojení </w:t>
      </w:r>
      <w:r>
        <w:rPr>
          <w:rFonts w:ascii="Times New Roman" w:hAnsi="Times New Roman" w:cs="Times New Roman"/>
          <w:color w:val="auto"/>
          <w:sz w:val="24"/>
          <w:szCs w:val="24"/>
        </w:rPr>
        <w:t>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stávající </w:t>
      </w: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dopravní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technickou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infrastrukturu,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Napojení na stávající dopravní a technickou infrastrukturu se nemění a bude využito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vliv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provádění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stavby na okolní stavby a pozemky,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Okolní pozemky a stavby budou dotčeny jednak prachem a hlukem, dále pak zhoršením přístupu k těmto objektům – tak, jak je to u takovéhoto typu staveb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okolí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a požadavky 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související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asanace, demolice, kácení zeleně,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Projektový návrh uvažuje s kácením </w:t>
      </w:r>
      <w:proofErr w:type="spellStart"/>
      <w:r w:rsidR="00540FD6">
        <w:rPr>
          <w:rFonts w:ascii="Times New Roman" w:hAnsi="Times New Roman" w:cs="Times New Roman"/>
          <w:b/>
          <w:i/>
          <w:sz w:val="24"/>
          <w:szCs w:val="24"/>
        </w:rPr>
        <w:t>mimolesní</w:t>
      </w:r>
      <w:proofErr w:type="spellEnd"/>
      <w:r w:rsidR="00540FD6">
        <w:rPr>
          <w:rFonts w:ascii="Times New Roman" w:hAnsi="Times New Roman" w:cs="Times New Roman"/>
          <w:b/>
          <w:i/>
          <w:sz w:val="24"/>
          <w:szCs w:val="24"/>
        </w:rPr>
        <w:t xml:space="preserve"> zeleně – 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="00540F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>stromů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>. Demolice se týká pouze vlastních konstrukčních vrstev vozovky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zábory pro stav</w:t>
      </w:r>
      <w:r>
        <w:rPr>
          <w:rFonts w:ascii="Times New Roman" w:hAnsi="Times New Roman" w:cs="Times New Roman"/>
          <w:color w:val="auto"/>
          <w:sz w:val="24"/>
          <w:szCs w:val="24"/>
        </w:rPr>
        <w:t>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dočasné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Mimo vlastní staveniště není uvažováno s žádným záborem – není na něj v dané lokalitě ani prostor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produkovaná množství a druhy odpadů a emisí při výstavbě, jejich likvidace,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417">
        <w:rPr>
          <w:rFonts w:ascii="Times New Roman" w:hAnsi="Times New Roman" w:cs="Times New Roman"/>
          <w:b/>
          <w:i/>
          <w:sz w:val="24"/>
          <w:szCs w:val="24"/>
        </w:rPr>
        <w:t>Veškeré odpady, vznikající při výstavbě budou dále použity pro stavební činnost – asfaltové vrstvy budou recyklovány, to samé platí pro podkladní vrstvy</w:t>
      </w:r>
      <w:r>
        <w:rPr>
          <w:rFonts w:ascii="Times New Roman" w:hAnsi="Times New Roman" w:cs="Times New Roman"/>
          <w:b/>
          <w:i/>
          <w:sz w:val="24"/>
          <w:szCs w:val="24"/>
        </w:rPr>
        <w:t>. Na stavbě se nevyskytují žádné jiné odpady než z konstrukčních vrstev vozovky včetně obrubníků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Skupina 17 – Stavební a demoliční odpady: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170302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Asfaltové směsi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(vybourané živičné kryty a 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podkl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>. vrstvy)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Odpady budou přednostně využívány způsoby R5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sutě), případně pak způsoby R11, R12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živičné kry a betonové sutě) dle Přílohy č. 3 Zák. 185/2001 Sb., </w:t>
      </w:r>
      <w:proofErr w:type="gramStart"/>
      <w:r w:rsidRPr="005D0017">
        <w:rPr>
          <w:rFonts w:ascii="Times New Roman" w:hAnsi="Times New Roman" w:cs="Times New Roman"/>
          <w:b/>
          <w:i/>
          <w:sz w:val="24"/>
          <w:szCs w:val="24"/>
        </w:rPr>
        <w:t>t. j. dočasně</w:t>
      </w:r>
      <w:proofErr w:type="gram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deponovány pro následné využití na stavbě.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Zemina a štěrkové podkladní vrstvy z odkopávek budou použity v místě úpravy – násyp tělesa komunikace a pro konečné terénní úpravy. 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bilance zemních prací, požadavky na přísun nebo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deponie</w:t>
      </w:r>
      <w:proofErr w:type="spellEnd"/>
    </w:p>
    <w:p w:rsidR="00764CCD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Zemních prací je na stavbě minimum – jedná se o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64CCD" w:rsidRDefault="00764CCD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Odkopávky pro skladbu komunikace – cca 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>590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m3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zeminy nahrazované při sanacích </w:t>
      </w:r>
      <w:proofErr w:type="gramStart"/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pláně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4CCD">
        <w:rPr>
          <w:rFonts w:ascii="Times New Roman" w:hAnsi="Times New Roman" w:cs="Times New Roman"/>
          <w:b/>
          <w:i/>
          <w:sz w:val="24"/>
          <w:szCs w:val="24"/>
        </w:rPr>
        <w:t>max</w:t>
      </w:r>
      <w:proofErr w:type="spellEnd"/>
      <w:proofErr w:type="gramEnd"/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57E3C">
        <w:rPr>
          <w:rFonts w:ascii="Times New Roman" w:hAnsi="Times New Roman" w:cs="Times New Roman"/>
          <w:b/>
          <w:i/>
          <w:sz w:val="24"/>
          <w:szCs w:val="24"/>
        </w:rPr>
        <w:t>400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m3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životního prostředí při výstavbě,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Komunikace budou pravidelně uklízeny od bláta a prachu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na staveništi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, posouzení potřeby koordinátora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podle jiných právních předpisů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Na stavbě by měl být přítomen koordinátor BOZP, a to z důvodu ochranných pásem inženýrských sítí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Tato stavba podléhá režimu dle zákona č.309/2006 Sb. ve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zněníé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zákona č. 88/2016 a NV č.591/2006 Sb. v platném znění a navazujících předpisů.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Zadavatel před realizací stavby zajistí zpracování Plánu BOZP. Hlavní zhotovitel stavby a všichni subdodavatelé musí před zahájením prací předat požadované doklady a údaje koordinátoru stavby určenému zadavatelem (investorem).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Každý zhotovitel stavby se bude mj. řídit platnými legislativními předpisy, které se týkají zejména: 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ochrany a zabezpečení staveniště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bezpečnosti práce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zajištění lékařské pomoci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protipožární ochrany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nakládání s odpady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Je nutné, aby se všemi předpisy z oblasti bezpečnosti práce byli prokazatelně seznámeni všichni pracovníci provádějící práce na staveništi.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Před započetím prací si musí zhotovitel stavebních prací ověřit, respektive zajistit,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aby :</w:t>
      </w:r>
      <w:proofErr w:type="gramEnd"/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pracoviště, na kterém se mají práce realizovat, bylo předáno a byly splněny požadavky z hlediska jeho zabezpečení;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bylo dodrženo NV č. 361/2007 Sb., kterým se stanoví podmínky ochrany zdraví při práci</w:t>
      </w:r>
    </w:p>
    <w:p w:rsidR="00540FD6" w:rsidRPr="00041D26" w:rsidRDefault="00540FD6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úpravy pro bezbariérové užívání výstavbou dotčených staveb,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Netýká se této 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pro </w:t>
      </w:r>
      <w:r>
        <w:rPr>
          <w:rFonts w:ascii="Times New Roman" w:hAnsi="Times New Roman" w:cs="Times New Roman"/>
          <w:color w:val="auto"/>
          <w:sz w:val="24"/>
          <w:szCs w:val="24"/>
        </w:rPr>
        <w:t>dopravně inženýrské opatření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Zhotovitel zpracuje pro stavbu DIO –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To bude řešit pouze uzavírku chodníku po dobu stavebních prací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Stanovení speciálních podmínek pro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porvádění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stavby (provádění stavby za provozu, opatření proti účinkům vnějšího prostředí při výstavbě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D3D30" w:rsidRDefault="00FD3D30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Na hranicích staveniště a ZS budou rozmístěny bezpečnostní tabulky s údaji o režimu vstupu. Výkopy rýh, které nebudou bezprostředně zasypány, budou opatřeny ohrazením s výstražnými tabulkami, objekty ZS  budou dále označeny znakem s údaji o nejbližším komunikačním zařízení k přivolání záchranné služby případně dalších složek integrovaného záchranného systému.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1.Veškeré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přírodních léčivých zdrojů a jejich zdravotní nezávadnost, jakož i jejich zásoby a vydatnost v souladu s 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ust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. §23 lázeňského zákona. Je vyloučené používání stavebních a jiných strojů s pohonem na tekutá paliva, které nejsou chráněny proti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odkapům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popř. únikům do terénu. Stabilní mechanizmy musí být podloženy záchytnými a nepropustnými vanami o obsahu, který zaručí zachycení nejen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>, nýbrž i uniklého paliva při havárii zásobní nebo provozní nádrže.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2.Součástí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vybavení pracoviště budou  vhodné sorpční hmoty (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Vapex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písek) pro likvidaci jakýchkoliv úniků ropných látek.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3.Na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pracovišti nesmí být skladovány látky škodlivé vodám.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Stavební činnost musí probíhat v souladu s Obecně závaznou vyhláškou města Karlovy Vary č. 5/2009 o ochraně nočního klidu a regulaci hlučných činností, zejména pak čl. 3 -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Hlučné činnosti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Každý je povinen zdržet se o nedělích a státem uznaných dnech pracovního klidu v době od 06:00 do 08:00 a od 12:00 do 22:00 hodin, veškerých prací spojených s užíváním zařízení a přístrojů způsobujících hluk, např. sekaček na trávu, cirkulárek, motorových pil, bouracích kladiv,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apod..</w:t>
      </w:r>
      <w:proofErr w:type="gramEnd"/>
    </w:p>
    <w:p w:rsidR="00FD3D30" w:rsidRDefault="00FD3D30" w:rsidP="00FD3D30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Postup výstavby, rozhodující termíny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Není v době zpracování PD znám</w:t>
      </w:r>
    </w:p>
    <w:p w:rsidR="00FD3D30" w:rsidRDefault="00FD3D30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A53B94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B54E9E" w:rsidRPr="00A53B94" w:rsidSect="00F57E3C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DD" w:rsidRDefault="00806CDD" w:rsidP="00A53B94">
      <w:pPr>
        <w:spacing w:after="0" w:line="240" w:lineRule="auto"/>
      </w:pPr>
      <w:r>
        <w:separator/>
      </w:r>
    </w:p>
  </w:endnote>
  <w:end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DD" w:rsidRDefault="00806CDD" w:rsidP="00A53B94">
      <w:pPr>
        <w:spacing w:after="0" w:line="240" w:lineRule="auto"/>
      </w:pPr>
      <w:r>
        <w:separator/>
      </w:r>
    </w:p>
  </w:footnote>
  <w:foot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216399"/>
      <w:docPartObj>
        <w:docPartGallery w:val="Page Numbers (Top of Page)"/>
        <w:docPartUnique/>
      </w:docPartObj>
    </w:sdtPr>
    <w:sdtContent>
      <w:p w:rsidR="00F57E3C" w:rsidRDefault="00F57E3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7E3C" w:rsidRDefault="00F57E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1153509E"/>
    <w:multiLevelType w:val="hybridMultilevel"/>
    <w:tmpl w:val="F006C6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CA0661A"/>
    <w:multiLevelType w:val="hybridMultilevel"/>
    <w:tmpl w:val="7D7EE912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65077"/>
    <w:multiLevelType w:val="hybridMultilevel"/>
    <w:tmpl w:val="7A20BE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30B04C6"/>
    <w:multiLevelType w:val="hybridMultilevel"/>
    <w:tmpl w:val="BEBA85A4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5612406E"/>
    <w:multiLevelType w:val="multilevel"/>
    <w:tmpl w:val="02468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C00C31"/>
    <w:multiLevelType w:val="hybridMultilevel"/>
    <w:tmpl w:val="AECA1AEE"/>
    <w:lvl w:ilvl="0" w:tplc="D88CEAD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">
    <w:nsid w:val="6C332D6E"/>
    <w:multiLevelType w:val="hybridMultilevel"/>
    <w:tmpl w:val="05CA9820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29F0E77"/>
    <w:multiLevelType w:val="hybridMultilevel"/>
    <w:tmpl w:val="BBF68422"/>
    <w:lvl w:ilvl="0" w:tplc="10BEA6B4">
      <w:start w:val="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31A6EB0"/>
    <w:multiLevelType w:val="hybridMultilevel"/>
    <w:tmpl w:val="4CA01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75E7602B"/>
    <w:multiLevelType w:val="hybridMultilevel"/>
    <w:tmpl w:val="3432D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AC001C"/>
    <w:multiLevelType w:val="hybridMultilevel"/>
    <w:tmpl w:val="A64A09E2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7"/>
  </w:num>
  <w:num w:numId="5">
    <w:abstractNumId w:val="2"/>
  </w:num>
  <w:num w:numId="6">
    <w:abstractNumId w:val="17"/>
  </w:num>
  <w:num w:numId="7">
    <w:abstractNumId w:val="12"/>
  </w:num>
  <w:num w:numId="8">
    <w:abstractNumId w:val="18"/>
  </w:num>
  <w:num w:numId="9">
    <w:abstractNumId w:val="13"/>
  </w:num>
  <w:num w:numId="10">
    <w:abstractNumId w:val="0"/>
  </w:num>
  <w:num w:numId="11">
    <w:abstractNumId w:val="14"/>
  </w:num>
  <w:num w:numId="12">
    <w:abstractNumId w:val="4"/>
  </w:num>
  <w:num w:numId="13">
    <w:abstractNumId w:val="11"/>
  </w:num>
  <w:num w:numId="14">
    <w:abstractNumId w:val="5"/>
  </w:num>
  <w:num w:numId="15">
    <w:abstractNumId w:val="10"/>
  </w:num>
  <w:num w:numId="16">
    <w:abstractNumId w:val="1"/>
  </w:num>
  <w:num w:numId="17">
    <w:abstractNumId w:val="3"/>
  </w:num>
  <w:num w:numId="18">
    <w:abstractNumId w:val="16"/>
  </w:num>
  <w:num w:numId="19">
    <w:abstractNumId w:val="9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AB"/>
    <w:rsid w:val="00000FBB"/>
    <w:rsid w:val="00023D85"/>
    <w:rsid w:val="00042832"/>
    <w:rsid w:val="00077129"/>
    <w:rsid w:val="00097CA9"/>
    <w:rsid w:val="000F2673"/>
    <w:rsid w:val="000F2D0C"/>
    <w:rsid w:val="00104137"/>
    <w:rsid w:val="00137780"/>
    <w:rsid w:val="00177F8C"/>
    <w:rsid w:val="001E0C46"/>
    <w:rsid w:val="001E6A2F"/>
    <w:rsid w:val="00233F8E"/>
    <w:rsid w:val="00246FF3"/>
    <w:rsid w:val="00286680"/>
    <w:rsid w:val="002D19F0"/>
    <w:rsid w:val="002E410D"/>
    <w:rsid w:val="00303617"/>
    <w:rsid w:val="00305F55"/>
    <w:rsid w:val="003366F3"/>
    <w:rsid w:val="00382154"/>
    <w:rsid w:val="003D51AD"/>
    <w:rsid w:val="003F1DED"/>
    <w:rsid w:val="00431542"/>
    <w:rsid w:val="004512E8"/>
    <w:rsid w:val="00492E2C"/>
    <w:rsid w:val="004C5531"/>
    <w:rsid w:val="004E0964"/>
    <w:rsid w:val="00502DD1"/>
    <w:rsid w:val="005054A1"/>
    <w:rsid w:val="00531589"/>
    <w:rsid w:val="00540FD6"/>
    <w:rsid w:val="00543ECB"/>
    <w:rsid w:val="00553A31"/>
    <w:rsid w:val="00576FA1"/>
    <w:rsid w:val="00611381"/>
    <w:rsid w:val="00621777"/>
    <w:rsid w:val="00623249"/>
    <w:rsid w:val="006279EA"/>
    <w:rsid w:val="00634C2A"/>
    <w:rsid w:val="00650259"/>
    <w:rsid w:val="00677365"/>
    <w:rsid w:val="006833FB"/>
    <w:rsid w:val="00687A98"/>
    <w:rsid w:val="006906B1"/>
    <w:rsid w:val="006E2503"/>
    <w:rsid w:val="00756D63"/>
    <w:rsid w:val="00764CCD"/>
    <w:rsid w:val="00773F48"/>
    <w:rsid w:val="00785198"/>
    <w:rsid w:val="007D0BB9"/>
    <w:rsid w:val="007F4242"/>
    <w:rsid w:val="0080593C"/>
    <w:rsid w:val="00806CDD"/>
    <w:rsid w:val="0082337F"/>
    <w:rsid w:val="00836E9A"/>
    <w:rsid w:val="00840048"/>
    <w:rsid w:val="0089659D"/>
    <w:rsid w:val="008E58B1"/>
    <w:rsid w:val="00914352"/>
    <w:rsid w:val="00922616"/>
    <w:rsid w:val="00943A09"/>
    <w:rsid w:val="00967B13"/>
    <w:rsid w:val="00971D71"/>
    <w:rsid w:val="00974CE2"/>
    <w:rsid w:val="009B227A"/>
    <w:rsid w:val="009C285D"/>
    <w:rsid w:val="009E556E"/>
    <w:rsid w:val="009F6A73"/>
    <w:rsid w:val="00A1662F"/>
    <w:rsid w:val="00A2601F"/>
    <w:rsid w:val="00A277FE"/>
    <w:rsid w:val="00A517D0"/>
    <w:rsid w:val="00A53B94"/>
    <w:rsid w:val="00AA04D4"/>
    <w:rsid w:val="00AA1A31"/>
    <w:rsid w:val="00AB10C4"/>
    <w:rsid w:val="00AC5821"/>
    <w:rsid w:val="00AC6C65"/>
    <w:rsid w:val="00AD7D4C"/>
    <w:rsid w:val="00B10CF1"/>
    <w:rsid w:val="00B17F09"/>
    <w:rsid w:val="00B22818"/>
    <w:rsid w:val="00B54E9E"/>
    <w:rsid w:val="00B60FFE"/>
    <w:rsid w:val="00B77182"/>
    <w:rsid w:val="00B826F6"/>
    <w:rsid w:val="00B87229"/>
    <w:rsid w:val="00BB41B5"/>
    <w:rsid w:val="00BB73F4"/>
    <w:rsid w:val="00BF5CB7"/>
    <w:rsid w:val="00C031BB"/>
    <w:rsid w:val="00C347AB"/>
    <w:rsid w:val="00C52D34"/>
    <w:rsid w:val="00C554C7"/>
    <w:rsid w:val="00CD7942"/>
    <w:rsid w:val="00CE02A1"/>
    <w:rsid w:val="00CE3804"/>
    <w:rsid w:val="00CF1EF2"/>
    <w:rsid w:val="00D241EE"/>
    <w:rsid w:val="00D436EB"/>
    <w:rsid w:val="00D46F16"/>
    <w:rsid w:val="00D731DA"/>
    <w:rsid w:val="00D87945"/>
    <w:rsid w:val="00DA7BE0"/>
    <w:rsid w:val="00E15B01"/>
    <w:rsid w:val="00E419F9"/>
    <w:rsid w:val="00E876AA"/>
    <w:rsid w:val="00EF01B5"/>
    <w:rsid w:val="00EF30F0"/>
    <w:rsid w:val="00F06C7F"/>
    <w:rsid w:val="00F40428"/>
    <w:rsid w:val="00F47B4E"/>
    <w:rsid w:val="00F570A3"/>
    <w:rsid w:val="00F57E3C"/>
    <w:rsid w:val="00F90080"/>
    <w:rsid w:val="00FA1345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40"/>
    <w:rsid w:val="00C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30E1651F0744E57A57811C1389019B6">
    <w:name w:val="130E1651F0744E57A57811C1389019B6"/>
    <w:rsid w:val="00CF6840"/>
  </w:style>
  <w:style w:type="paragraph" w:customStyle="1" w:styleId="0F8A4B46F0B14BAE8C0EE40B04FEBE08">
    <w:name w:val="0F8A4B46F0B14BAE8C0EE40B04FEBE08"/>
    <w:rsid w:val="00CF6840"/>
  </w:style>
  <w:style w:type="paragraph" w:customStyle="1" w:styleId="C93A96FA5C0B488FBDB421A90DE33802">
    <w:name w:val="C93A96FA5C0B488FBDB421A90DE33802"/>
    <w:rsid w:val="00CF6840"/>
  </w:style>
  <w:style w:type="paragraph" w:customStyle="1" w:styleId="97E69F6CDAE54F3AB9A267F55C7FBF7E">
    <w:name w:val="97E69F6CDAE54F3AB9A267F55C7FBF7E"/>
    <w:rsid w:val="00CF68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30E1651F0744E57A57811C1389019B6">
    <w:name w:val="130E1651F0744E57A57811C1389019B6"/>
    <w:rsid w:val="00CF6840"/>
  </w:style>
  <w:style w:type="paragraph" w:customStyle="1" w:styleId="0F8A4B46F0B14BAE8C0EE40B04FEBE08">
    <w:name w:val="0F8A4B46F0B14BAE8C0EE40B04FEBE08"/>
    <w:rsid w:val="00CF6840"/>
  </w:style>
  <w:style w:type="paragraph" w:customStyle="1" w:styleId="C93A96FA5C0B488FBDB421A90DE33802">
    <w:name w:val="C93A96FA5C0B488FBDB421A90DE33802"/>
    <w:rsid w:val="00CF6840"/>
  </w:style>
  <w:style w:type="paragraph" w:customStyle="1" w:styleId="97E69F6CDAE54F3AB9A267F55C7FBF7E">
    <w:name w:val="97E69F6CDAE54F3AB9A267F55C7FBF7E"/>
    <w:rsid w:val="00CF6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61795BBEBCF54F9C9D8C4BE2E472D5" ma:contentTypeVersion="17" ma:contentTypeDescription="Vytvoří nový dokument" ma:contentTypeScope="" ma:versionID="eb57577567cd98c110119a4caf010d42">
  <xsd:schema xmlns:xsd="http://www.w3.org/2001/XMLSchema" xmlns:xs="http://www.w3.org/2001/XMLSchema" xmlns:p="http://schemas.microsoft.com/office/2006/metadata/properties" xmlns:ns2="41ec62b2-5769-47c7-89e9-2553fd4e5d10" xmlns:ns3="aefccb90-1c61-4472-93d8-2045f711da9b" targetNamespace="http://schemas.microsoft.com/office/2006/metadata/properties" ma:root="true" ma:fieldsID="9d42943133848d0bcc63287283b9a169" ns2:_="" ns3:_="">
    <xsd:import namespace="41ec62b2-5769-47c7-89e9-2553fd4e5d10"/>
    <xsd:import namespace="aefccb90-1c61-4472-93d8-2045f711da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62b2-5769-47c7-89e9-2553fd4e5d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472fbe4-f284-4e92-b9ec-767f008d93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ccb90-1c61-4472-93d8-2045f711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1d6f67-61be-4559-9db0-1d8b91b493d5}" ma:internalName="TaxCatchAll" ma:showField="CatchAllData" ma:web="aefccb90-1c61-4472-93d8-2045f711da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E8F2C-2E16-4660-ACE1-E03165C9A5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148E5F-FDB7-400E-A413-8EC384EC1332}"/>
</file>

<file path=customXml/itemProps3.xml><?xml version="1.0" encoding="utf-8"?>
<ds:datastoreItem xmlns:ds="http://schemas.openxmlformats.org/officeDocument/2006/customXml" ds:itemID="{F7B9065A-7BDB-43C9-8B0D-2B20A0F91C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16</Pages>
  <Words>3330</Words>
  <Characters>19652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9</cp:revision>
  <cp:lastPrinted>2022-06-09T13:09:00Z</cp:lastPrinted>
  <dcterms:created xsi:type="dcterms:W3CDTF">2022-02-28T14:31:00Z</dcterms:created>
  <dcterms:modified xsi:type="dcterms:W3CDTF">2022-06-09T13:10:00Z</dcterms:modified>
</cp:coreProperties>
</file>