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36"/>
          <w:szCs w:val="36"/>
        </w:rPr>
      </w:pPr>
      <w:r>
        <w:rPr>
          <w:rFonts w:cs="Calibri"/>
          <w:sz w:val="36"/>
          <w:szCs w:val="36"/>
        </w:rPr>
        <w:t>Kontrolní list pro vyhodnocení sociálního a environmentálního odpovědného zadávání a inovací ve veřejné zakázce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36"/>
          <w:szCs w:val="36"/>
        </w:rPr>
      </w:pPr>
      <w:r>
        <w:rPr>
          <w:rFonts w:cs="Calibri"/>
          <w:sz w:val="36"/>
          <w:szCs w:val="36"/>
        </w:rPr>
      </w:r>
    </w:p>
    <w:tbl>
      <w:tblPr>
        <w:tblStyle w:val="Mkatabulky"/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7649"/>
      </w:tblGrid>
      <w:tr>
        <w:trPr>
          <w:trHeight w:val="633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cs-CZ" w:eastAsia="en-US" w:bidi="ar-SA"/>
              </w:rPr>
              <w:t>Zadavatel:</w:t>
            </w:r>
          </w:p>
        </w:tc>
        <w:tc>
          <w:tcPr>
            <w:tcW w:w="76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Tahoma" w:ascii="Tahoma" w:hAnsi="Tahoma"/>
                <w:b/>
                <w:kern w:val="0"/>
                <w:sz w:val="20"/>
                <w:szCs w:val="22"/>
                <w:lang w:val="cs-CZ" w:eastAsia="en-US" w:bidi="ar-SA"/>
              </w:rPr>
              <w:t>Statutární město Karlovy Vary</w:t>
            </w:r>
          </w:p>
        </w:tc>
      </w:tr>
      <w:tr>
        <w:trPr>
          <w:trHeight w:val="557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cs-CZ" w:eastAsia="en-US" w:bidi="ar-SA"/>
              </w:rPr>
              <w:t>Název VZ:</w:t>
            </w:r>
          </w:p>
        </w:tc>
        <w:tc>
          <w:tcPr>
            <w:tcW w:w="7649" w:type="dxa"/>
            <w:tcBorders/>
            <w:vAlign w:val="center"/>
          </w:tcPr>
          <w:p>
            <w:pPr>
              <w:pStyle w:val="Header"/>
              <w:widowControl w:val="false"/>
              <w:spacing w:before="0" w:after="0"/>
              <w:jc w:val="both"/>
              <w:rPr>
                <w:rFonts w:ascii="Tahoma" w:hAnsi="Tahoma" w:cs="Tahoma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Calibri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Pojištění majetku a odpovědnosti za ÚJMU a pojištění vozidel Statutárního města Karlovy Vary pro ob</w:t>
            </w:r>
            <w:r>
              <w:rPr>
                <w:rFonts w:eastAsia="Calibri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DO</w:t>
            </w:r>
            <w:r>
              <w:rPr>
                <w:rFonts w:eastAsia="Calibri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bí 2025 – 2029</w:t>
            </w:r>
          </w:p>
          <w:p>
            <w:pPr>
              <w:pStyle w:val="Header"/>
              <w:widowControl w:val="false"/>
              <w:spacing w:before="0" w:after="0"/>
              <w:jc w:val="both"/>
              <w:rPr>
                <w:rFonts w:ascii="Tahoma" w:hAnsi="Tahoma" w:cs="Tahoma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Calibri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-</w:t>
            </w:r>
          </w:p>
          <w:p>
            <w:pPr>
              <w:pStyle w:val="BodyText"/>
              <w:spacing w:before="0" w:after="120"/>
              <w:jc w:val="both"/>
              <w:rPr>
                <w:rFonts w:ascii="Tahoma" w:hAnsi="Tahoma" w:eastAsia="Times New Roman" w:cs="Tahoma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>
              <w:rPr>
                <w:rFonts w:cs="Tahoma" w:ascii="Tahoma" w:hAnsi="Tahoma"/>
                <w:b/>
                <w:bCs/>
                <w:kern w:val="0"/>
                <w:sz w:val="20"/>
                <w:szCs w:val="20"/>
                <w:lang w:val="cs-CZ" w:eastAsia="en-US" w:bidi="ar-SA"/>
              </w:rPr>
              <w:t xml:space="preserve">2. část - </w:t>
            </w:r>
            <w:bookmarkStart w:id="0" w:name="_Hlk132619336"/>
            <w:r>
              <w:rPr>
                <w:rFonts w:eastAsia="Times New Roman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 xml:space="preserve">Pojištění </w:t>
            </w:r>
            <w:bookmarkEnd w:id="0"/>
            <w:r>
              <w:rPr>
                <w:rFonts w:eastAsia="Times New Roman" w:cs="Tahoma" w:ascii="Tahoma" w:hAnsi="Tahoma"/>
                <w:b/>
                <w:bCs/>
                <w:caps/>
                <w:color w:val="000000"/>
                <w:kern w:val="0"/>
                <w:sz w:val="20"/>
                <w:szCs w:val="20"/>
                <w:lang w:val="cs-CZ" w:eastAsia="cs-CZ" w:bidi="ar-SA"/>
              </w:rPr>
              <w:t>vozidel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-Bold" w:ascii="Calibri-Bold" w:hAnsi="Calibri-Bold"/>
                <w:b/>
                <w:bCs/>
                <w:kern w:val="0"/>
                <w:sz w:val="18"/>
                <w:szCs w:val="18"/>
                <w:lang w:val="cs-CZ" w:eastAsia="en-US" w:bidi="ar-SA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-Bold" w:ascii="Calibri-Bold" w:hAnsi="Calibri-Bold"/>
                <w:b/>
                <w:bCs/>
                <w:kern w:val="0"/>
                <w:sz w:val="18"/>
                <w:szCs w:val="18"/>
                <w:lang w:val="cs-CZ" w:eastAsia="en-US" w:bidi="ar-SA"/>
              </w:rPr>
              <w:t>Vyhodnocení možnosti zohlednění OVZ a inovací (ano/ne/nerelevantní)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-Bold" w:ascii="Calibri-Bold" w:hAnsi="Calibri-Bold"/>
                <w:b/>
                <w:bCs/>
                <w:kern w:val="0"/>
                <w:sz w:val="18"/>
                <w:szCs w:val="18"/>
                <w:lang w:val="cs-CZ" w:eastAsia="en-US" w:bidi="ar-SA"/>
              </w:rPr>
              <w:t>Jaká opatření budou přijata? Případně proč aspekt OVZ či inovace zadavatel nevyužil?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Zadavatel v rámci smluvních podmínek klade důraz na dodržování pracovně právních předpisů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 xml:space="preserve">Předmět veřejné zakázky není způsobilý osobám znevýhodněným na trhu práce získat nebo si zvýšit kvalifikaci. Rovněž není možné v rámci plnění veřejné zakázky pořádat exkurze pro školy nebo veřejnost. 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 xml:space="preserve">V rámci veřejné zakázky, jejímž předmětem je poskytování služeb, určité riziko existuje. Zadavatel se snaží těmto rizikům předcházet nastavením smluvních podmínek, které kladou důraz právě na dodržování pracovních podmínek dle ZP a dodržování BOZP. Zadavatel se nedomnívá, že by bylo vhodné v rámci předmětné veřejné zakázky hodnotit lépe pracovní podmínky osob podílejících se na plnění, nad rámec zákonného standardu pracovních podmínek. 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K uvedené veřejné zakázce se nevztahuje.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Sociální podniky mohou veřejnou zakázku plnit či se na jejím plnění podílet. Není vhodné přijímat opatření, aby se ještě více zlepšil jejich přístup k účasti ve veřejné zakázce.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ANO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Určité riziku existuje. Zadavatel opět minimalizuje tato rizika nastavení smluvních podmínek, které mj. důraz na dodržování vztahů v rámci dodavatelských řetězců.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V případě předmětné veřejné zakázky nepřichází žádné z uvedených řešení v úvahu.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V případě předmětné veřejné zakázky nepřichází žádné z uvedených řešení v úvahu.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V případě předmětné veřejné zakázky nepřichází žádné z uvedených řešení v úvahu.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Dále ke zvážení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Je vhodné o užití OVZ ve veřejné zakázce informovat dodavatele, například formou předběžných tržních konzultací, představení plánu veřejných zakázek, setkání typu Meetthebuyer neboli Poznej svého zadavatele, technických školení dodavatelů apod.?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K uvedené veřejné zakázce se nevztahuje.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cs-CZ" w:eastAsia="en-US" w:bidi="ar-SA"/>
              </w:rPr>
              <w:t>Existují jiná významná rizika nebo příležitosti z pohledu společenské odpovědnosti či udržitelnosti?</w:t>
            </w:r>
          </w:p>
        </w:tc>
        <w:tc>
          <w:tcPr>
            <w:tcW w:w="30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K uvedené veřejné zakázce se nevztahuje.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-Bol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i/>
        <w:i/>
        <w:iCs/>
      </w:rPr>
    </w:pPr>
    <w:r>
      <w:rPr>
        <w:i/>
        <w:iCs/>
      </w:rPr>
      <w:t>Příloha č. 2b</w:t>
    </w:r>
    <w:bookmarkStart w:id="1" w:name="_GoBack"/>
    <w:bookmarkEnd w:id="1"/>
    <w:r>
      <w:rPr>
        <w:i/>
        <w:iCs/>
      </w:rPr>
      <w:t xml:space="preserve"> Zadávací dokumentace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2d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72e4c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qFormat/>
    <w:rsid w:val="001400ea"/>
    <w:rPr/>
  </w:style>
  <w:style w:type="character" w:styleId="ZpatChar" w:customStyle="1">
    <w:name w:val="Zápatí Char"/>
    <w:basedOn w:val="DefaultParagraphFont"/>
    <w:uiPriority w:val="99"/>
    <w:qFormat/>
    <w:rsid w:val="001400ea"/>
    <w:rPr/>
  </w:style>
  <w:style w:type="character" w:styleId="ZkladntextChar" w:customStyle="1">
    <w:name w:val="Základní text Char"/>
    <w:basedOn w:val="DefaultParagraphFont"/>
    <w:qFormat/>
    <w:rsid w:val="00564ed5"/>
    <w:rPr>
      <w:rFonts w:ascii="Times New Roman" w:hAnsi="Times New Roman" w:eastAsia="Tahoma" w:cs="Times New Roman"/>
      <w:sz w:val="24"/>
      <w:szCs w:val="24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564ed5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Tahoma" w:cs="Times New Roman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72e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1400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1400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a265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2</Pages>
  <Words>658</Words>
  <Characters>4097</Characters>
  <CharactersWithSpaces>4712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2025-03-03T12:29:00Z</dcterms:created>
  <dc:creator>Magdaléna Bičová</dc:creator>
  <dc:description/>
  <dc:language>cs-CZ</dc:language>
  <cp:lastModifiedBy/>
  <dcterms:modified xsi:type="dcterms:W3CDTF">2025-03-25T15:19:20Z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