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2C94" w14:textId="77777777" w:rsidR="008C5A46" w:rsidRDefault="008C5A46" w:rsidP="008C5A46">
      <w:pPr>
        <w:autoSpaceDE w:val="0"/>
        <w:autoSpaceDN w:val="0"/>
        <w:adjustRightInd w:val="0"/>
        <w:ind w:left="360"/>
        <w:jc w:val="right"/>
        <w:rPr>
          <w:sz w:val="22"/>
        </w:rPr>
      </w:pPr>
      <w:r w:rsidRPr="00AC2CCF">
        <w:rPr>
          <w:sz w:val="22"/>
        </w:rPr>
        <w:t>Příloha č. 3 zadávací dokumentace</w:t>
      </w:r>
    </w:p>
    <w:p w14:paraId="04AB0D20" w14:textId="77777777" w:rsidR="008C5A46" w:rsidRPr="00AC2CCF" w:rsidRDefault="008C5A46" w:rsidP="008C5A46">
      <w:pPr>
        <w:spacing w:before="240"/>
        <w:jc w:val="center"/>
        <w:rPr>
          <w:b/>
          <w:bCs/>
          <w:smallCaps/>
          <w:sz w:val="36"/>
          <w:szCs w:val="36"/>
        </w:rPr>
      </w:pPr>
      <w:r w:rsidRPr="00AC2CCF">
        <w:rPr>
          <w:b/>
          <w:bCs/>
          <w:smallCaps/>
          <w:sz w:val="36"/>
          <w:szCs w:val="36"/>
        </w:rPr>
        <w:t xml:space="preserve">Čestné prohlášení dodavatele </w:t>
      </w:r>
    </w:p>
    <w:p w14:paraId="3123328F" w14:textId="77777777" w:rsidR="008C5A46" w:rsidRPr="00254F7F" w:rsidRDefault="008C5A46" w:rsidP="008C5A46">
      <w:pPr>
        <w:spacing w:line="240" w:lineRule="atLeast"/>
        <w:jc w:val="center"/>
        <w:rPr>
          <w:rFonts w:cs="Times New Roman"/>
          <w:b/>
          <w:bCs/>
          <w:szCs w:val="21"/>
        </w:rPr>
      </w:pPr>
      <w:r w:rsidRPr="00254F7F">
        <w:rPr>
          <w:rFonts w:cs="Times New Roman"/>
          <w:b/>
          <w:bCs/>
          <w:szCs w:val="21"/>
        </w:rPr>
        <w:t xml:space="preserve">o prokázání základní způsobilosti ve smyslu ustanovení § 74 zákona č. 134/2016 Sb., </w:t>
      </w:r>
      <w:r w:rsidRPr="00254F7F">
        <w:rPr>
          <w:rFonts w:cs="Times New Roman"/>
          <w:b/>
          <w:bCs/>
          <w:szCs w:val="21"/>
        </w:rPr>
        <w:br/>
        <w:t>o zadávání veřejných zakázek</w:t>
      </w:r>
    </w:p>
    <w:p w14:paraId="2E5758B0" w14:textId="77777777" w:rsidR="008C5A46" w:rsidRPr="00254F7F" w:rsidRDefault="008C5A46" w:rsidP="008C5A46">
      <w:pPr>
        <w:keepNext/>
        <w:ind w:right="284"/>
        <w:jc w:val="center"/>
        <w:rPr>
          <w:rFonts w:cs="Times New Roman"/>
          <w:b/>
          <w:smallCaps/>
          <w:szCs w:val="21"/>
        </w:rPr>
      </w:pPr>
      <w:r w:rsidRPr="00254F7F">
        <w:rPr>
          <w:rFonts w:cs="Times New Roman"/>
          <w:b/>
          <w:smallCaps/>
          <w:szCs w:val="21"/>
        </w:rPr>
        <w:t>Informace o zadávacím řízení</w:t>
      </w: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8C5A46" w:rsidRPr="00254F7F" w14:paraId="7F69509D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67F22F60" w14:textId="77777777" w:rsidR="008C5A46" w:rsidRPr="00254F7F" w:rsidRDefault="008C5A46" w:rsidP="00427E01">
            <w:pPr>
              <w:ind w:left="96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noWrap/>
            <w:vAlign w:val="center"/>
          </w:tcPr>
          <w:p w14:paraId="5110751A" w14:textId="3A442248" w:rsidR="008C5A46" w:rsidRPr="009E74C4" w:rsidRDefault="00DF202D" w:rsidP="009E74C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Cs w:val="21"/>
              </w:rPr>
            </w:pPr>
            <w:r w:rsidRPr="009E74C4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„</w:t>
            </w:r>
            <w:r w:rsidR="009E74C4" w:rsidRPr="009E74C4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SO.02 Vřídelní kolonáda - renovace vřídelní lávky - přemostění řeky Teplé“</w:t>
            </w:r>
          </w:p>
        </w:tc>
      </w:tr>
      <w:tr w:rsidR="008C5A46" w:rsidRPr="00254F7F" w14:paraId="449BD13B" w14:textId="77777777" w:rsidTr="00427E01">
        <w:trPr>
          <w:trHeight w:val="956"/>
        </w:trPr>
        <w:tc>
          <w:tcPr>
            <w:tcW w:w="3574" w:type="dxa"/>
            <w:noWrap/>
            <w:vAlign w:val="center"/>
          </w:tcPr>
          <w:p w14:paraId="0646A601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zadávacího řízení:</w:t>
            </w:r>
          </w:p>
        </w:tc>
        <w:tc>
          <w:tcPr>
            <w:tcW w:w="5558" w:type="dxa"/>
            <w:noWrap/>
            <w:vAlign w:val="center"/>
          </w:tcPr>
          <w:p w14:paraId="5F5B175A" w14:textId="77777777" w:rsidR="008C5A46" w:rsidRPr="00254F7F" w:rsidRDefault="008C5A46" w:rsidP="00427E01">
            <w:pPr>
              <w:ind w:left="79"/>
              <w:rPr>
                <w:rFonts w:cs="Times New Roman"/>
                <w:noProof/>
                <w:color w:val="000000"/>
                <w:szCs w:val="21"/>
              </w:rPr>
            </w:pPr>
            <w:r w:rsidRPr="00254F7F">
              <w:rPr>
                <w:rFonts w:cs="Times New Roman"/>
                <w:noProof/>
                <w:szCs w:val="21"/>
              </w:rPr>
              <w:t xml:space="preserve">Zjednodušené podlimitní řízení podle zákona </w:t>
            </w:r>
            <w:r w:rsidRPr="00254F7F">
              <w:rPr>
                <w:rFonts w:eastAsia="PMingLiU" w:cs="Times New Roman"/>
                <w:noProof/>
                <w:szCs w:val="21"/>
              </w:rPr>
              <w:br/>
            </w:r>
            <w:r w:rsidRPr="00254F7F">
              <w:rPr>
                <w:rFonts w:cs="Times New Roman"/>
                <w:noProof/>
                <w:szCs w:val="21"/>
              </w:rPr>
              <w:t>č. 134/2016 Sb., o zadávání veřejných zakázek (dále jen „</w:t>
            </w:r>
            <w:r w:rsidRPr="00254F7F">
              <w:rPr>
                <w:rFonts w:cs="Times New Roman"/>
                <w:b/>
                <w:bCs/>
                <w:noProof/>
                <w:szCs w:val="21"/>
              </w:rPr>
              <w:t>zákon</w:t>
            </w:r>
            <w:r w:rsidRPr="00254F7F">
              <w:rPr>
                <w:rFonts w:cs="Times New Roman"/>
                <w:noProof/>
                <w:szCs w:val="21"/>
              </w:rPr>
              <w:t>“)</w:t>
            </w:r>
          </w:p>
        </w:tc>
      </w:tr>
      <w:tr w:rsidR="008C5A46" w:rsidRPr="00254F7F" w14:paraId="02EE410D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28B68FBD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noWrap/>
            <w:vAlign w:val="center"/>
          </w:tcPr>
          <w:p w14:paraId="7EB50E30" w14:textId="77777777" w:rsidR="008C5A46" w:rsidRPr="00254F7F" w:rsidRDefault="008C5A46" w:rsidP="00427E01">
            <w:pPr>
              <w:ind w:left="95"/>
              <w:rPr>
                <w:rFonts w:cs="Times New Roman"/>
                <w:noProof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8C5A46" w:rsidRPr="00254F7F" w14:paraId="1503B0D9" w14:textId="77777777" w:rsidTr="00427E01">
        <w:trPr>
          <w:trHeight w:val="331"/>
        </w:trPr>
        <w:tc>
          <w:tcPr>
            <w:tcW w:w="3574" w:type="dxa"/>
            <w:noWrap/>
            <w:vAlign w:val="center"/>
          </w:tcPr>
          <w:p w14:paraId="09423BB6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noWrap/>
            <w:vAlign w:val="center"/>
          </w:tcPr>
          <w:p w14:paraId="4CF95A22" w14:textId="79376799" w:rsidR="008C5A46" w:rsidRPr="00254F7F" w:rsidRDefault="0043428E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Cs w:val="21"/>
              </w:rPr>
              <w:t>35 598</w:t>
            </w:r>
            <w:bookmarkStart w:id="0" w:name="_GoBack"/>
            <w:bookmarkEnd w:id="0"/>
            <w:r w:rsidR="00E22DF4" w:rsidRPr="00B77669">
              <w:rPr>
                <w:rFonts w:asciiTheme="majorBidi" w:hAnsiTheme="majorBidi" w:cstheme="majorBidi"/>
                <w:color w:val="000000"/>
                <w:szCs w:val="21"/>
              </w:rPr>
              <w:t> 000,-</w:t>
            </w:r>
            <w:r w:rsidR="00E22DF4" w:rsidRPr="0098766D">
              <w:rPr>
                <w:rFonts w:asciiTheme="majorBidi" w:hAnsiTheme="majorBidi" w:cstheme="majorBidi"/>
                <w:color w:val="000000"/>
                <w:szCs w:val="21"/>
              </w:rPr>
              <w:t xml:space="preserve"> Kč bez DPH</w:t>
            </w:r>
          </w:p>
        </w:tc>
      </w:tr>
    </w:tbl>
    <w:p w14:paraId="49A42B9B" w14:textId="77777777" w:rsidR="008C5A46" w:rsidRPr="00254F7F" w:rsidRDefault="008C5A46" w:rsidP="008C5A46">
      <w:pPr>
        <w:spacing w:before="120"/>
        <w:rPr>
          <w:rFonts w:cs="Times New Roman"/>
          <w:szCs w:val="21"/>
        </w:rPr>
      </w:pPr>
    </w:p>
    <w:p w14:paraId="3A29AAAE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 xml:space="preserve">Já (my), níže podepsaný(í), čestně prohlašuji(eme), že dodavatel </w:t>
      </w:r>
      <w:r w:rsidRPr="00254F7F">
        <w:rPr>
          <w:rFonts w:cs="Times New Roman"/>
          <w:b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</w:rPr>
        <w:t xml:space="preserve"> splňuje podmínky základní způsobilosti ve smyslu ustanovení § 74 zákona č. 134/2016 Sb., o zadávání veřejných zakázek (dále jen „</w:t>
      </w:r>
      <w:r w:rsidRPr="00254F7F">
        <w:rPr>
          <w:rFonts w:cs="Times New Roman"/>
          <w:b/>
          <w:bCs/>
          <w:szCs w:val="21"/>
        </w:rPr>
        <w:t>zákon</w:t>
      </w:r>
      <w:r w:rsidRPr="00254F7F">
        <w:rPr>
          <w:rFonts w:cs="Times New Roman"/>
          <w:szCs w:val="21"/>
        </w:rPr>
        <w:t xml:space="preserve">“), a to v níže uvedeném rozsahu: </w:t>
      </w:r>
    </w:p>
    <w:p w14:paraId="041A861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(§ 74 odst. 1 písm. a) zákona)</w:t>
      </w:r>
    </w:p>
    <w:p w14:paraId="0896046F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 České republice nebo v zemi svého sídla v evidenci daní zachycen splatný daňový nedoplatek, a to ani ve vztahu ke spotřební dani (§ 74 odst. 1 písm. b) zákona);</w:t>
      </w:r>
    </w:p>
    <w:p w14:paraId="7E34CA05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4A372EC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 xml:space="preserve">Dodavatel nemá v České republice nebo v zemi svého sídla splatný nedoplatek na pojistném nebo na penále na sociální zabezpečení a příspěvku na státní politiku zaměstnanosti (§ 74 odst. 1 písm. d) zákona), </w:t>
      </w:r>
    </w:p>
    <w:p w14:paraId="42099594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079AFFBF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6D389CAF" w14:textId="5A3A2F86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Dále níže čestně prohlašujeme neexistenci střetu zájmů v souladu s § 4b zákona č. 159/2006 Sb., o střetu zájmů, ve znění pozdějších předpisů</w:t>
      </w:r>
      <w:r w:rsidRPr="00254F7F">
        <w:rPr>
          <w:rStyle w:val="Znakapoznpodarou"/>
          <w:rFonts w:ascii="Times New Roman" w:eastAsia="Arial Unicode MS" w:hAnsi="Times New Roman" w:cs="Times New Roman"/>
          <w:sz w:val="21"/>
          <w:szCs w:val="21"/>
        </w:rPr>
        <w:footnoteReference w:id="1"/>
      </w:r>
      <w:r w:rsidRPr="00254F7F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FDFC51C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</w:t>
      </w:r>
      <w:r w:rsidRPr="00254F7F">
        <w:rPr>
          <w:rFonts w:ascii="Times New Roman" w:hAnsi="Times New Roman" w:cs="Times New Roman"/>
          <w:sz w:val="21"/>
          <w:szCs w:val="21"/>
        </w:rPr>
        <w:lastRenderedPageBreak/>
        <w:t xml:space="preserve">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998D6D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301F9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Rovněž prohlašujeme, že </w:t>
      </w:r>
    </w:p>
    <w:p w14:paraId="494F7A7C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Calibri"/>
          <w:bCs/>
          <w:sz w:val="21"/>
          <w:szCs w:val="21"/>
          <w:lang w:val="cs-CZ" w:eastAsia="en-US"/>
        </w:rPr>
        <w:t xml:space="preserve">my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ani </w:t>
      </w:r>
      <w:bookmarkStart w:id="1" w:name="_Hlk101524639"/>
      <w:r w:rsidRPr="00254F7F">
        <w:rPr>
          <w:rFonts w:eastAsia="Times New Roman"/>
          <w:color w:val="333333"/>
          <w:sz w:val="21"/>
          <w:szCs w:val="21"/>
          <w:lang w:val="cs-CZ"/>
        </w:rPr>
        <w:t>(i) kterýkoli z jeho poddodavatelů či jiných osob dle § 83 zákona č. 134/2016 Sb., o zadávání veřejných zakázek, ve znění pozdějších předpisů, který se bude podílet na plnění této veřejné zakázky nebo (ii) kterákoli z osob, jejichž kapacity bude dodavatel využívat,</w:t>
      </w:r>
    </w:p>
    <w:p w14:paraId="091AB666" w14:textId="77777777" w:rsidR="00254F7F" w:rsidRPr="00254F7F" w:rsidRDefault="00254F7F" w:rsidP="00254F7F">
      <w:pPr>
        <w:pStyle w:val="Odstavecseseznamem"/>
        <w:widowControl w:val="0"/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 to v rozsahu více než 10 % </w:t>
      </w:r>
      <w:bookmarkEnd w:id="1"/>
      <w:r w:rsidRPr="00254F7F">
        <w:rPr>
          <w:rFonts w:eastAsia="Times New Roman"/>
          <w:color w:val="333333"/>
          <w:sz w:val="21"/>
          <w:szCs w:val="21"/>
          <w:lang w:val="cs-CZ"/>
        </w:rPr>
        <w:t>nabídkové ceny,</w:t>
      </w:r>
    </w:p>
    <w:p w14:paraId="60D4283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ruským státním příslušníkem, fyzickou či právnickou osobou nebo subjektem či orgánem se sídlem v Rusku,</w:t>
      </w:r>
    </w:p>
    <w:p w14:paraId="4618AD69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z více než 50 % přímo či nepřímo vlastněn některým ze subjektů uvedených v písmeni a), ani</w:t>
      </w:r>
    </w:p>
    <w:p w14:paraId="3BC17BA6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nejedná jménem nebo na pokyn některého ze subjektů uvedených v písmeni a) nebo b).</w:t>
      </w:r>
    </w:p>
    <w:p w14:paraId="08B1555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bCs/>
          <w:sz w:val="21"/>
          <w:szCs w:val="21"/>
          <w:lang w:val="cs-CZ"/>
        </w:rPr>
        <w:t xml:space="preserve">nejsme osobou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254F7F">
        <w:rPr>
          <w:rFonts w:eastAsia="Calibri"/>
          <w:sz w:val="21"/>
          <w:szCs w:val="21"/>
          <w:vertAlign w:val="superscript"/>
          <w:lang w:val="cs-CZ" w:eastAsia="en-US"/>
        </w:rPr>
        <w:footnoteReference w:id="2"/>
      </w:r>
      <w:r w:rsidRPr="00254F7F">
        <w:rPr>
          <w:rFonts w:eastAsia="Calibri"/>
          <w:sz w:val="21"/>
          <w:szCs w:val="21"/>
          <w:lang w:val="cs-CZ" w:eastAsia="en-US"/>
        </w:rPr>
        <w:t>.</w:t>
      </w:r>
    </w:p>
    <w:p w14:paraId="1624A442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3B6A87D6" w14:textId="77777777" w:rsidR="00254F7F" w:rsidRPr="00254F7F" w:rsidRDefault="00254F7F" w:rsidP="00254F7F">
      <w:pPr>
        <w:pStyle w:val="Textvbloku"/>
        <w:tabs>
          <w:tab w:val="left" w:pos="2580"/>
        </w:tabs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Toto prohlášení činíme na základě své jasné, srozumitelné, svobodné a omylu prosté vůle a jsme si vědomi všech následků plynoucích z uvedení nepravdivých údajů.</w:t>
      </w:r>
    </w:p>
    <w:p w14:paraId="04BC2516" w14:textId="77777777" w:rsidR="008C5A46" w:rsidRPr="00254F7F" w:rsidRDefault="008C5A46" w:rsidP="00254F7F">
      <w:pPr>
        <w:spacing w:before="120" w:after="0" w:line="240" w:lineRule="auto"/>
        <w:ind w:left="720"/>
        <w:rPr>
          <w:rFonts w:cs="Times New Roman"/>
          <w:szCs w:val="21"/>
        </w:rPr>
      </w:pPr>
    </w:p>
    <w:p w14:paraId="40E77A0F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  <w:highlight w:val="yellow"/>
        </w:rPr>
        <w:t xml:space="preserve">V </w:t>
      </w:r>
      <w:r w:rsidRPr="00254F7F">
        <w:rPr>
          <w:rFonts w:cs="Times New Roman"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  <w:highlight w:val="yellow"/>
        </w:rPr>
        <w:t xml:space="preserve"> dne </w:t>
      </w:r>
      <w:r w:rsidRPr="00254F7F">
        <w:rPr>
          <w:rFonts w:cs="Times New Roman"/>
          <w:noProof/>
          <w:szCs w:val="21"/>
          <w:highlight w:val="yellow"/>
        </w:rPr>
        <w:t>[●]</w:t>
      </w:r>
    </w:p>
    <w:p w14:paraId="0B426CB7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0E51651A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63A047E5" w14:textId="77777777" w:rsidR="008C5A46" w:rsidRPr="00254F7F" w:rsidRDefault="008C5A46" w:rsidP="008C5A46">
      <w:pPr>
        <w:ind w:left="6372"/>
        <w:jc w:val="center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  <w:t>________________________</w:t>
      </w:r>
    </w:p>
    <w:p w14:paraId="16F317E7" w14:textId="77777777" w:rsidR="0049136F" w:rsidRPr="00254F7F" w:rsidRDefault="008C5A46" w:rsidP="008C5A46">
      <w:pPr>
        <w:ind w:left="6372"/>
        <w:jc w:val="center"/>
        <w:rPr>
          <w:rFonts w:cs="Times New Roman"/>
          <w:b/>
          <w:noProof/>
          <w:szCs w:val="21"/>
        </w:rPr>
      </w:pPr>
      <w:r w:rsidRPr="00254F7F">
        <w:rPr>
          <w:rFonts w:cs="Times New Roman"/>
          <w:b/>
          <w:noProof/>
          <w:szCs w:val="21"/>
          <w:highlight w:val="yellow"/>
        </w:rPr>
        <w:t>[●]</w:t>
      </w:r>
    </w:p>
    <w:sectPr w:rsidR="0049136F" w:rsidRPr="00254F7F" w:rsidSect="001E49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5F5A" w14:textId="77777777" w:rsidR="00C222BB" w:rsidRDefault="00C222BB" w:rsidP="007059BB">
      <w:pPr>
        <w:spacing w:after="0" w:line="240" w:lineRule="auto"/>
      </w:pPr>
      <w:r>
        <w:separator/>
      </w:r>
    </w:p>
  </w:endnote>
  <w:endnote w:type="continuationSeparator" w:id="0">
    <w:p w14:paraId="46AFF05D" w14:textId="77777777" w:rsidR="00C222BB" w:rsidRDefault="00C222BB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5D20315C" w14:textId="77777777" w:rsidTr="00C20F6B">
      <w:trPr>
        <w:trHeight w:val="623"/>
      </w:trPr>
      <w:tc>
        <w:tcPr>
          <w:tcW w:w="9062" w:type="dxa"/>
        </w:tcPr>
        <w:p w14:paraId="4F788201" w14:textId="6DCDF122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43428E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7127DD3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DD81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4AAF99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5B67455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1399ABE3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0963D020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553418FE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D8F33DB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D5EB" w14:textId="77777777" w:rsidR="00C222BB" w:rsidRDefault="00C222BB" w:rsidP="007059BB">
      <w:pPr>
        <w:spacing w:after="0" w:line="240" w:lineRule="auto"/>
      </w:pPr>
      <w:r>
        <w:separator/>
      </w:r>
    </w:p>
  </w:footnote>
  <w:footnote w:type="continuationSeparator" w:id="0">
    <w:p w14:paraId="32FAD7F2" w14:textId="77777777" w:rsidR="00C222BB" w:rsidRDefault="00C222BB" w:rsidP="007059BB">
      <w:pPr>
        <w:spacing w:after="0" w:line="240" w:lineRule="auto"/>
      </w:pPr>
      <w:r>
        <w:continuationSeparator/>
      </w:r>
    </w:p>
  </w:footnote>
  <w:footnote w:id="1">
    <w:p w14:paraId="16BE38CB" w14:textId="77777777" w:rsidR="00254F7F" w:rsidRPr="00746435" w:rsidRDefault="00254F7F" w:rsidP="00254F7F">
      <w:pPr>
        <w:pStyle w:val="Textpoznpodarou"/>
        <w:spacing w:after="120"/>
        <w:jc w:val="both"/>
      </w:pPr>
      <w:r w:rsidRPr="00254F7F">
        <w:rPr>
          <w:rStyle w:val="Znakapoznpodarou"/>
          <w:rFonts w:eastAsia="Arial Unicode MS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2">
    <w:p w14:paraId="1A957BCC" w14:textId="77777777" w:rsidR="00254F7F" w:rsidRPr="006D0846" w:rsidRDefault="00254F7F" w:rsidP="00254F7F">
      <w:pPr>
        <w:pStyle w:val="Textpoznpodarou"/>
        <w:spacing w:before="120"/>
        <w:jc w:val="both"/>
        <w:rPr>
          <w:sz w:val="15"/>
          <w:szCs w:val="15"/>
        </w:rPr>
      </w:pPr>
      <w:r w:rsidRPr="00254F7F">
        <w:rPr>
          <w:rStyle w:val="Znakapoznpodarou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254F7F">
          <w:rPr>
            <w:rStyle w:val="Hypertextovodkaz"/>
            <w:sz w:val="18"/>
            <w:szCs w:val="18"/>
          </w:rPr>
          <w:t>https://www.financnianalytickyurad.cz/povinne-osoby-dle-zakona-c-2532008-sb#rusko-seznam-sankcionovanych-osob</w:t>
        </w:r>
      </w:hyperlink>
      <w:r w:rsidRPr="00254F7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6BAB0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0B87BA" wp14:editId="5162B652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23253030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38F606B1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52F95A21" wp14:editId="430384DF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516B799C" w14:textId="77777777" w:rsidR="001E4992" w:rsidRDefault="001E4992" w:rsidP="007059BB">
          <w:pPr>
            <w:pStyle w:val="Zhlav"/>
          </w:pPr>
        </w:p>
      </w:tc>
    </w:tr>
    <w:tr w:rsidR="003426CB" w14:paraId="7DAD52FB" w14:textId="77777777" w:rsidTr="003426CB">
      <w:tc>
        <w:tcPr>
          <w:tcW w:w="2098" w:type="dxa"/>
          <w:vMerge/>
        </w:tcPr>
        <w:p w14:paraId="64B66519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4514ABF" w14:textId="77777777" w:rsidR="007059BB" w:rsidRDefault="007059BB" w:rsidP="007059BB">
          <w:pPr>
            <w:pStyle w:val="Zhlav"/>
          </w:pPr>
        </w:p>
      </w:tc>
    </w:tr>
  </w:tbl>
  <w:p w14:paraId="7D555FF7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BB"/>
    <w:rsid w:val="00037A2D"/>
    <w:rsid w:val="000A49BE"/>
    <w:rsid w:val="0010581F"/>
    <w:rsid w:val="00144782"/>
    <w:rsid w:val="00171BD7"/>
    <w:rsid w:val="001C039D"/>
    <w:rsid w:val="001E4992"/>
    <w:rsid w:val="001F1C6F"/>
    <w:rsid w:val="00203544"/>
    <w:rsid w:val="00213BE4"/>
    <w:rsid w:val="00254F7F"/>
    <w:rsid w:val="002E4400"/>
    <w:rsid w:val="003426CB"/>
    <w:rsid w:val="00346752"/>
    <w:rsid w:val="0042212E"/>
    <w:rsid w:val="00431956"/>
    <w:rsid w:val="0043428E"/>
    <w:rsid w:val="004419D3"/>
    <w:rsid w:val="004431A5"/>
    <w:rsid w:val="0049136F"/>
    <w:rsid w:val="00540C73"/>
    <w:rsid w:val="005524B5"/>
    <w:rsid w:val="005B55BC"/>
    <w:rsid w:val="005D70A5"/>
    <w:rsid w:val="0064139B"/>
    <w:rsid w:val="00642214"/>
    <w:rsid w:val="0067230C"/>
    <w:rsid w:val="007059BB"/>
    <w:rsid w:val="00761684"/>
    <w:rsid w:val="007959DF"/>
    <w:rsid w:val="007C082B"/>
    <w:rsid w:val="007C1438"/>
    <w:rsid w:val="007F644B"/>
    <w:rsid w:val="00831506"/>
    <w:rsid w:val="00866C25"/>
    <w:rsid w:val="00885652"/>
    <w:rsid w:val="008C1E6B"/>
    <w:rsid w:val="008C5A46"/>
    <w:rsid w:val="009636FA"/>
    <w:rsid w:val="0098766D"/>
    <w:rsid w:val="009E74C4"/>
    <w:rsid w:val="00AE0658"/>
    <w:rsid w:val="00B03B14"/>
    <w:rsid w:val="00B461D2"/>
    <w:rsid w:val="00B77669"/>
    <w:rsid w:val="00BE5ADF"/>
    <w:rsid w:val="00BF0399"/>
    <w:rsid w:val="00C02F3C"/>
    <w:rsid w:val="00C222BB"/>
    <w:rsid w:val="00C34DB9"/>
    <w:rsid w:val="00C71DC3"/>
    <w:rsid w:val="00CF00D4"/>
    <w:rsid w:val="00D45F84"/>
    <w:rsid w:val="00D53952"/>
    <w:rsid w:val="00D87E83"/>
    <w:rsid w:val="00DA562B"/>
    <w:rsid w:val="00DA6812"/>
    <w:rsid w:val="00DC4F6B"/>
    <w:rsid w:val="00DF202D"/>
    <w:rsid w:val="00E06F45"/>
    <w:rsid w:val="00E11626"/>
    <w:rsid w:val="00E21098"/>
    <w:rsid w:val="00E22DF4"/>
    <w:rsid w:val="00E50F1D"/>
    <w:rsid w:val="00EB0092"/>
    <w:rsid w:val="00F57054"/>
    <w:rsid w:val="00F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EBE0E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1"/>
    <w:rsid w:val="0064139B"/>
    <w:rPr>
      <w:rFonts w:ascii="Times New Roman" w:hAnsi="Times New Roman"/>
      <w:sz w:val="21"/>
    </w:rPr>
  </w:style>
  <w:style w:type="paragraph" w:styleId="Zkladntext">
    <w:name w:val="Body Text"/>
    <w:basedOn w:val="Normln"/>
    <w:link w:val="ZkladntextChar"/>
    <w:rsid w:val="008C5A46"/>
    <w:pPr>
      <w:spacing w:after="0" w:line="240" w:lineRule="auto"/>
      <w:jc w:val="left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5A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8C5A46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Textvbloku">
    <w:name w:val="Block Text"/>
    <w:basedOn w:val="Normln"/>
    <w:rsid w:val="00254F7F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4F7F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F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54F7F"/>
    <w:rPr>
      <w:vertAlign w:val="superscript"/>
    </w:rPr>
  </w:style>
  <w:style w:type="character" w:styleId="Hypertextovodkaz">
    <w:name w:val="Hyperlink"/>
    <w:uiPriority w:val="99"/>
    <w:rsid w:val="00254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4F7F"/>
    <w:pPr>
      <w:spacing w:after="0" w:line="240" w:lineRule="auto"/>
      <w:ind w:left="720"/>
      <w:contextualSpacing/>
    </w:pPr>
    <w:rPr>
      <w:rFonts w:eastAsia="SimSu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9" ma:contentTypeDescription="Vytvoří nový dokument" ma:contentTypeScope="" ma:versionID="c5e96e45d7bfb8f8652a08cb9c76c1df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f1331357553f4983902f888122ce05ad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9D100138-AFAF-460A-A548-96CEB13A9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Pavlasová Eva</cp:lastModifiedBy>
  <cp:revision>22</cp:revision>
  <cp:lastPrinted>2024-05-22T10:20:00Z</cp:lastPrinted>
  <dcterms:created xsi:type="dcterms:W3CDTF">2020-11-05T06:01:00Z</dcterms:created>
  <dcterms:modified xsi:type="dcterms:W3CDTF">2026-03-10T07:44:00Z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